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0CD51" w14:textId="77777777" w:rsidR="009F2182" w:rsidRDefault="009F2182">
      <w:pPr>
        <w:rPr>
          <w:rFonts w:ascii="Century Gothic" w:hAnsi="Century Gothic"/>
        </w:rPr>
      </w:pPr>
    </w:p>
    <w:p w14:paraId="342FCCE7" w14:textId="468EC85D" w:rsidR="009F2182" w:rsidRDefault="009F2182">
      <w:pPr>
        <w:rPr>
          <w:rFonts w:ascii="Century Gothic" w:hAnsi="Century Gothic"/>
          <w:b/>
        </w:rPr>
      </w:pPr>
      <w:r w:rsidRPr="009F2182">
        <w:rPr>
          <w:rFonts w:ascii="Century Gothic" w:hAnsi="Century Gothic"/>
          <w:b/>
        </w:rPr>
        <w:t>Cecil v. Commissioner – The Last Resort for Tax Affecting</w:t>
      </w:r>
    </w:p>
    <w:p w14:paraId="6EA9785D" w14:textId="4EF3035E" w:rsidR="009E678D" w:rsidRDefault="009E678D">
      <w:pPr>
        <w:pBdr>
          <w:bottom w:val="single" w:sz="6" w:space="1" w:color="auto"/>
        </w:pBd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William H. Frazier, ASA</w:t>
      </w:r>
    </w:p>
    <w:p w14:paraId="3AAC202A" w14:textId="4A6A9915" w:rsidR="00CC0D58" w:rsidRDefault="0074425A">
      <w:pPr>
        <w:rPr>
          <w:rFonts w:ascii="Century Gothic" w:hAnsi="Century Gothic"/>
          <w:u w:val="single"/>
        </w:rPr>
      </w:pPr>
      <w:r w:rsidRPr="009F2182">
        <w:rPr>
          <w:rFonts w:ascii="Century Gothic" w:hAnsi="Century Gothic"/>
          <w:u w:val="single"/>
        </w:rPr>
        <w:t>Outline</w:t>
      </w:r>
      <w:r w:rsidR="009F2182" w:rsidRPr="009F2182">
        <w:rPr>
          <w:rFonts w:ascii="Century Gothic" w:hAnsi="Century Gothic"/>
          <w:u w:val="single"/>
        </w:rPr>
        <w:t xml:space="preserve"> of Presentation</w:t>
      </w:r>
      <w:r w:rsidR="009F2182">
        <w:rPr>
          <w:rFonts w:ascii="Century Gothic" w:hAnsi="Century Gothic"/>
          <w:u w:val="single"/>
        </w:rPr>
        <w:t xml:space="preserve"> </w:t>
      </w:r>
    </w:p>
    <w:p w14:paraId="767F98D0" w14:textId="77777777" w:rsidR="009F2182" w:rsidRPr="009F2182" w:rsidRDefault="009F2182">
      <w:pPr>
        <w:rPr>
          <w:rFonts w:ascii="Century Gothic" w:hAnsi="Century Gothic"/>
          <w:u w:val="single"/>
        </w:rPr>
      </w:pPr>
    </w:p>
    <w:p w14:paraId="785ACAF0" w14:textId="77777777" w:rsidR="0074425A" w:rsidRDefault="0074425A" w:rsidP="0074425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Overview</w:t>
      </w:r>
    </w:p>
    <w:p w14:paraId="4E2857AA" w14:textId="77777777" w:rsidR="0074425A" w:rsidRDefault="0074425A" w:rsidP="0074425A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History of the Biltmore House</w:t>
      </w:r>
    </w:p>
    <w:p w14:paraId="7CB805F9" w14:textId="77777777" w:rsidR="0074425A" w:rsidRDefault="0074425A" w:rsidP="0074425A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The family</w:t>
      </w:r>
    </w:p>
    <w:p w14:paraId="3ACA0CE8" w14:textId="77777777" w:rsidR="0074425A" w:rsidRDefault="0074425A" w:rsidP="0074425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The Biltmore Corporation</w:t>
      </w:r>
    </w:p>
    <w:p w14:paraId="745DE609" w14:textId="77777777" w:rsidR="0074425A" w:rsidRDefault="0074425A" w:rsidP="0074425A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History and governance</w:t>
      </w:r>
    </w:p>
    <w:p w14:paraId="514EEB98" w14:textId="77777777" w:rsidR="0074425A" w:rsidRDefault="0074425A" w:rsidP="0074425A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Operations</w:t>
      </w:r>
    </w:p>
    <w:p w14:paraId="5BB0F7AA" w14:textId="77777777" w:rsidR="0074425A" w:rsidRDefault="0074425A" w:rsidP="0074425A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Ownership</w:t>
      </w:r>
    </w:p>
    <w:p w14:paraId="2F1A1F9B" w14:textId="77777777" w:rsidR="0074425A" w:rsidRDefault="0074425A" w:rsidP="0074425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The Transfer</w:t>
      </w:r>
    </w:p>
    <w:p w14:paraId="183B57E6" w14:textId="77777777" w:rsidR="0074425A" w:rsidRDefault="0074425A" w:rsidP="0074425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The </w:t>
      </w:r>
      <w:r w:rsidR="00302D8F">
        <w:rPr>
          <w:rFonts w:ascii="Century Gothic" w:hAnsi="Century Gothic"/>
        </w:rPr>
        <w:t>Appraisals</w:t>
      </w:r>
    </w:p>
    <w:p w14:paraId="37A7DD2F" w14:textId="77777777" w:rsidR="0074425A" w:rsidRDefault="0074425A" w:rsidP="0074425A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Hawkins (taxpayer)</w:t>
      </w:r>
    </w:p>
    <w:p w14:paraId="3DDD2A9E" w14:textId="77777777" w:rsidR="0074425A" w:rsidRDefault="0074425A" w:rsidP="0074425A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Adams (taxpayer)</w:t>
      </w:r>
    </w:p>
    <w:p w14:paraId="68B8C15E" w14:textId="77777777" w:rsidR="0074425A" w:rsidRDefault="0074425A" w:rsidP="0074425A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Morrison (IRS)</w:t>
      </w:r>
    </w:p>
    <w:p w14:paraId="12DF286A" w14:textId="77777777" w:rsidR="00302D8F" w:rsidRDefault="00302D8F" w:rsidP="00302D8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Tax Affecting</w:t>
      </w:r>
    </w:p>
    <w:p w14:paraId="161E2840" w14:textId="77777777" w:rsidR="00302D8F" w:rsidRDefault="00302D8F" w:rsidP="00302D8F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The simple math</w:t>
      </w:r>
    </w:p>
    <w:p w14:paraId="1DFAEC81" w14:textId="77777777" w:rsidR="00302D8F" w:rsidRDefault="00302D8F" w:rsidP="00302D8F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The taxpayer’s argument</w:t>
      </w:r>
    </w:p>
    <w:p w14:paraId="3E4FCEC1" w14:textId="77777777" w:rsidR="00302D8F" w:rsidRDefault="00302D8F" w:rsidP="00302D8F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The IRS argument</w:t>
      </w:r>
    </w:p>
    <w:p w14:paraId="16BB9D4E" w14:textId="77777777" w:rsidR="00302D8F" w:rsidRDefault="00302D8F" w:rsidP="00302D8F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Overview of the cases</w:t>
      </w:r>
    </w:p>
    <w:p w14:paraId="368E6EFC" w14:textId="77777777" w:rsidR="00302D8F" w:rsidRDefault="00302D8F" w:rsidP="00302D8F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The Tax Court’s view (for many years)</w:t>
      </w:r>
    </w:p>
    <w:p w14:paraId="1144957D" w14:textId="77777777" w:rsidR="00302D8F" w:rsidRDefault="00302D8F" w:rsidP="00302D8F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What changed?</w:t>
      </w:r>
    </w:p>
    <w:p w14:paraId="0F278B05" w14:textId="77777777" w:rsidR="00302D8F" w:rsidRDefault="00302D8F" w:rsidP="00302D8F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The Van Vleet (SEAM) method</w:t>
      </w:r>
    </w:p>
    <w:p w14:paraId="7B0CF18A" w14:textId="77777777" w:rsidR="00302D8F" w:rsidRDefault="00302D8F" w:rsidP="00302D8F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The decline of the S Corp benefit</w:t>
      </w:r>
    </w:p>
    <w:p w14:paraId="3A9B3A36" w14:textId="77777777" w:rsidR="00302D8F" w:rsidRDefault="007E7F25" w:rsidP="00302D8F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The conditionality of future use of Tax Affecting</w:t>
      </w:r>
    </w:p>
    <w:p w14:paraId="701505DA" w14:textId="77777777" w:rsidR="00925B2E" w:rsidRDefault="00925B2E" w:rsidP="00925B2E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Other Lessons from Cecil</w:t>
      </w:r>
    </w:p>
    <w:p w14:paraId="718E6D09" w14:textId="77777777" w:rsidR="00925B2E" w:rsidRDefault="00925B2E" w:rsidP="00925B2E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DLOM is chosen with no </w:t>
      </w:r>
      <w:proofErr w:type="gramStart"/>
      <w:r>
        <w:rPr>
          <w:rFonts w:ascii="Century Gothic" w:hAnsi="Century Gothic"/>
        </w:rPr>
        <w:t>explanation</w:t>
      </w:r>
      <w:proofErr w:type="gramEnd"/>
    </w:p>
    <w:p w14:paraId="7FF9E162" w14:textId="77777777" w:rsidR="00925B2E" w:rsidRDefault="00925B2E" w:rsidP="00925B2E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Nothing learned </w:t>
      </w:r>
      <w:proofErr w:type="gramStart"/>
      <w:r>
        <w:rPr>
          <w:rFonts w:ascii="Century Gothic" w:hAnsi="Century Gothic"/>
        </w:rPr>
        <w:t>here</w:t>
      </w:r>
      <w:proofErr w:type="gramEnd"/>
    </w:p>
    <w:p w14:paraId="30487B31" w14:textId="77777777" w:rsidR="00925B2E" w:rsidRDefault="00925B2E" w:rsidP="00925B2E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The Court divorces valuation factors from DLOM</w:t>
      </w:r>
    </w:p>
    <w:p w14:paraId="67AAD3C0" w14:textId="77777777" w:rsidR="007E7F25" w:rsidRDefault="007E7F25" w:rsidP="007E7F25">
      <w:pPr>
        <w:pStyle w:val="ListParagraph"/>
        <w:numPr>
          <w:ilvl w:val="3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Anti-Mandelbaum</w:t>
      </w:r>
    </w:p>
    <w:p w14:paraId="1F8A5B7F" w14:textId="77777777" w:rsidR="007E7F25" w:rsidRPr="007E7F25" w:rsidRDefault="007E7F25" w:rsidP="007E7F25">
      <w:pPr>
        <w:pStyle w:val="ListParagraph"/>
        <w:numPr>
          <w:ilvl w:val="3"/>
          <w:numId w:val="1"/>
        </w:numPr>
        <w:rPr>
          <w:rFonts w:ascii="Century Gothic" w:hAnsi="Century Gothic"/>
        </w:rPr>
      </w:pPr>
      <w:r w:rsidRPr="007E7F25">
        <w:rPr>
          <w:rFonts w:ascii="Century Gothic" w:hAnsi="Century Gothic"/>
        </w:rPr>
        <w:t>Counter intuitive</w:t>
      </w:r>
    </w:p>
    <w:p w14:paraId="19E4DC73" w14:textId="77777777" w:rsidR="00925B2E" w:rsidRDefault="00925B2E" w:rsidP="00925B2E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The Court </w:t>
      </w:r>
      <w:r w:rsidR="007E7F25">
        <w:rPr>
          <w:rFonts w:ascii="Century Gothic" w:hAnsi="Century Gothic"/>
        </w:rPr>
        <w:t xml:space="preserve">agrees with taxpayers </w:t>
      </w:r>
      <w:r>
        <w:rPr>
          <w:rFonts w:ascii="Century Gothic" w:hAnsi="Century Gothic"/>
        </w:rPr>
        <w:t xml:space="preserve">that valuation approaches are mutually </w:t>
      </w:r>
      <w:proofErr w:type="gramStart"/>
      <w:r>
        <w:rPr>
          <w:rFonts w:ascii="Century Gothic" w:hAnsi="Century Gothic"/>
        </w:rPr>
        <w:t>exclusive</w:t>
      </w:r>
      <w:proofErr w:type="gramEnd"/>
    </w:p>
    <w:p w14:paraId="7BE9DBED" w14:textId="19AEF426" w:rsidR="00925B2E" w:rsidRPr="009B1E7C" w:rsidRDefault="00925B2E" w:rsidP="009B1E7C">
      <w:pPr>
        <w:ind w:left="1080"/>
        <w:rPr>
          <w:rFonts w:ascii="Century Gothic" w:hAnsi="Century Gothic"/>
        </w:rPr>
      </w:pPr>
    </w:p>
    <w:p w14:paraId="55A6FD1F" w14:textId="77777777" w:rsidR="00925B2E" w:rsidRDefault="00925B2E" w:rsidP="00925B2E">
      <w:pPr>
        <w:pStyle w:val="ListParagraph"/>
        <w:ind w:left="6480"/>
        <w:rPr>
          <w:rFonts w:ascii="Century Gothic" w:hAnsi="Century Gothic"/>
        </w:rPr>
      </w:pPr>
    </w:p>
    <w:sectPr w:rsidR="00925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A1417"/>
    <w:multiLevelType w:val="hybridMultilevel"/>
    <w:tmpl w:val="D8E8FE56"/>
    <w:lvl w:ilvl="0" w:tplc="68B8CB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633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25A"/>
    <w:rsid w:val="00302D8F"/>
    <w:rsid w:val="0074425A"/>
    <w:rsid w:val="007E7F25"/>
    <w:rsid w:val="00925B2E"/>
    <w:rsid w:val="009B1E7C"/>
    <w:rsid w:val="009E678D"/>
    <w:rsid w:val="009F2182"/>
    <w:rsid w:val="00CC0D58"/>
    <w:rsid w:val="00E5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68D38"/>
  <w15:chartTrackingRefBased/>
  <w15:docId w15:val="{A946E680-98F6-4F29-891B-D8CE5F15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109582A5304F4FAA2F38B006801442" ma:contentTypeVersion="16" ma:contentTypeDescription="Create a new document." ma:contentTypeScope="" ma:versionID="26461d7fe3e4da316d875818bb71451e">
  <xsd:schema xmlns:xsd="http://www.w3.org/2001/XMLSchema" xmlns:xs="http://www.w3.org/2001/XMLSchema" xmlns:p="http://schemas.microsoft.com/office/2006/metadata/properties" xmlns:ns3="f57a599b-e309-43b5-92b4-6f769a16a7fa" xmlns:ns4="35d15317-6281-4db5-9b30-aaf16281a08f" targetNamespace="http://schemas.microsoft.com/office/2006/metadata/properties" ma:root="true" ma:fieldsID="3c04a0d3ba376c9a748404fec7583b41" ns3:_="" ns4:_="">
    <xsd:import namespace="f57a599b-e309-43b5-92b4-6f769a16a7fa"/>
    <xsd:import namespace="35d15317-6281-4db5-9b30-aaf16281a0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a599b-e309-43b5-92b4-6f769a16a7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15317-6281-4db5-9b30-aaf16281a0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7a599b-e309-43b5-92b4-6f769a16a7fa" xsi:nil="true"/>
  </documentManagement>
</p:properties>
</file>

<file path=customXml/itemProps1.xml><?xml version="1.0" encoding="utf-8"?>
<ds:datastoreItem xmlns:ds="http://schemas.openxmlformats.org/officeDocument/2006/customXml" ds:itemID="{A1666470-49C1-4917-8ADD-909A309681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09C60B-CE89-4398-9035-D2FAA5A4D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a599b-e309-43b5-92b4-6f769a16a7fa"/>
    <ds:schemaRef ds:uri="35d15317-6281-4db5-9b30-aaf16281a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1FCA59-7D31-4C19-A009-5DF02DEADF71}">
  <ds:schemaRefs>
    <ds:schemaRef ds:uri="http://schemas.microsoft.com/office/2006/metadata/properties"/>
    <ds:schemaRef ds:uri="http://schemas.microsoft.com/office/infopath/2007/PartnerControls"/>
    <ds:schemaRef ds:uri="f57a599b-e309-43b5-92b4-6f769a16a7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Weaver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Frazier</dc:creator>
  <cp:keywords/>
  <dc:description/>
  <cp:lastModifiedBy>Melissa Dyches</cp:lastModifiedBy>
  <cp:revision>2</cp:revision>
  <dcterms:created xsi:type="dcterms:W3CDTF">2023-08-14T18:57:00Z</dcterms:created>
  <dcterms:modified xsi:type="dcterms:W3CDTF">2023-08-14T18:57:00Z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0x010100BA109582A5304F4FAA2F38B006801442</vt:lpwstr>
  </property>
</Properties>
</file>