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6388" w14:textId="0B4E5D6C" w:rsidR="003A0665" w:rsidRPr="004F7725" w:rsidRDefault="003A0665" w:rsidP="00561F7C">
      <w:pPr>
        <w:pStyle w:val="a-ARTTITLE"/>
        <w:spacing w:line="240" w:lineRule="auto"/>
        <w:rPr>
          <w:caps/>
        </w:rPr>
      </w:pPr>
      <w:r w:rsidRPr="004F7725">
        <w:rPr>
          <w:caps/>
        </w:rPr>
        <w:t>Inside the Mind of a Trustee: The Importance of Understanding a Trustee</w:t>
      </w:r>
      <w:r w:rsidR="001A6DCB">
        <w:rPr>
          <w:caps/>
        </w:rPr>
        <w:t>’</w:t>
      </w:r>
      <w:r w:rsidRPr="004F7725">
        <w:rPr>
          <w:caps/>
        </w:rPr>
        <w:t>s Perspective</w:t>
      </w:r>
    </w:p>
    <w:p w14:paraId="04921879" w14:textId="77777777" w:rsidR="003A0665" w:rsidRPr="0059378C" w:rsidRDefault="003A0665" w:rsidP="00561F7C">
      <w:pPr>
        <w:rPr>
          <w:bCs/>
        </w:rPr>
      </w:pPr>
    </w:p>
    <w:p w14:paraId="73C1990B" w14:textId="08760AAE" w:rsidR="003A0665" w:rsidRPr="0059378C" w:rsidRDefault="003A0665" w:rsidP="00561F7C">
      <w:pPr>
        <w:pStyle w:val="a-AUTHOR"/>
        <w:spacing w:line="240" w:lineRule="auto"/>
      </w:pPr>
      <w:r w:rsidRPr="0059378C">
        <w:t>Katherine C. Akinc</w:t>
      </w:r>
      <w:r w:rsidRPr="003A0665">
        <w:rPr>
          <w:i w:val="0"/>
        </w:rPr>
        <w:t>, Austin</w:t>
      </w:r>
    </w:p>
    <w:p w14:paraId="651938F3" w14:textId="338457C1" w:rsidR="003A0665" w:rsidRPr="0059378C" w:rsidRDefault="00EC65C6" w:rsidP="00561F7C">
      <w:pPr>
        <w:jc w:val="center"/>
      </w:pPr>
      <w:r>
        <w:t>Rigby Slack Lawrence Berger Akinc Pepper + Comerford, PLLC</w:t>
      </w:r>
    </w:p>
    <w:p w14:paraId="13AAA928" w14:textId="77777777" w:rsidR="003A0665" w:rsidRPr="0059378C" w:rsidRDefault="003A0665" w:rsidP="00561F7C"/>
    <w:p w14:paraId="28872C15" w14:textId="77777777" w:rsidR="003A0665" w:rsidRPr="0059378C" w:rsidRDefault="003A0665" w:rsidP="00561F7C">
      <w:pPr>
        <w:rPr>
          <w:b/>
          <w:bCs/>
        </w:rPr>
      </w:pPr>
    </w:p>
    <w:p w14:paraId="3970F12C" w14:textId="5E2A9C89" w:rsidR="00856F83" w:rsidRDefault="00856F83" w:rsidP="00561F7C">
      <w:pPr>
        <w:pStyle w:val="TOC1"/>
        <w:tabs>
          <w:tab w:val="clear" w:pos="446"/>
          <w:tab w:val="left" w:pos="360"/>
        </w:tabs>
        <w:rPr>
          <w:rFonts w:asciiTheme="minorHAnsi" w:eastAsiaTheme="minorEastAsia" w:hAnsiTheme="minorHAnsi" w:cstheme="minorBidi"/>
          <w:smallCaps w:val="0"/>
          <w:noProof/>
          <w:szCs w:val="22"/>
        </w:rPr>
      </w:pPr>
      <w:r>
        <w:rPr>
          <w:b/>
        </w:rPr>
        <w:fldChar w:fldCharType="begin"/>
      </w:r>
      <w:r>
        <w:rPr>
          <w:b/>
        </w:rPr>
        <w:instrText xml:space="preserve"> TOC \t "a-1st Sub Hd,1,a-2nd Sub Hd,2,a-3rd Sub Hd,3,a-4th Sub Head,4,a-5th Sub Head,5" </w:instrText>
      </w:r>
      <w:r>
        <w:rPr>
          <w:b/>
        </w:rPr>
        <w:fldChar w:fldCharType="separate"/>
      </w:r>
      <w:r>
        <w:rPr>
          <w:noProof/>
        </w:rPr>
        <w:t>I.</w:t>
      </w:r>
      <w:r w:rsidR="00124019">
        <w:rPr>
          <w:noProof/>
        </w:rPr>
        <w:tab/>
      </w:r>
      <w:r>
        <w:rPr>
          <w:noProof/>
        </w:rPr>
        <w:t>Role of Trustee</w:t>
      </w:r>
      <w:r w:rsidRPr="00856F83">
        <w:rPr>
          <w:smallCaps w:val="0"/>
          <w:noProof/>
        </w:rPr>
        <w:tab/>
      </w:r>
    </w:p>
    <w:p w14:paraId="3CE0E785" w14:textId="6FA6B2A9" w:rsidR="00856F83" w:rsidRDefault="00856F83" w:rsidP="00561F7C">
      <w:pPr>
        <w:pStyle w:val="TOC2"/>
        <w:tabs>
          <w:tab w:val="clear" w:pos="960"/>
          <w:tab w:val="left" w:pos="720"/>
        </w:tabs>
        <w:ind w:left="360"/>
        <w:rPr>
          <w:rFonts w:asciiTheme="minorHAnsi" w:eastAsiaTheme="minorEastAsia" w:hAnsiTheme="minorHAnsi" w:cstheme="minorBidi"/>
          <w:i w:val="0"/>
          <w:noProof/>
          <w:szCs w:val="22"/>
        </w:rPr>
      </w:pPr>
      <w:r>
        <w:rPr>
          <w:noProof/>
        </w:rPr>
        <w:t>A.</w:t>
      </w:r>
      <w:r w:rsidR="00124019">
        <w:rPr>
          <w:noProof/>
        </w:rPr>
        <w:tab/>
      </w:r>
      <w:r>
        <w:rPr>
          <w:noProof/>
        </w:rPr>
        <w:t>Characteristics of a Good Trustee</w:t>
      </w:r>
      <w:r w:rsidRPr="00856F83">
        <w:rPr>
          <w:i w:val="0"/>
          <w:noProof/>
        </w:rPr>
        <w:tab/>
      </w:r>
    </w:p>
    <w:p w14:paraId="1B1EBE8C" w14:textId="64B714D5"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1.</w:t>
      </w:r>
      <w:r w:rsidR="00124019">
        <w:rPr>
          <w:noProof/>
        </w:rPr>
        <w:tab/>
      </w:r>
      <w:r>
        <w:rPr>
          <w:noProof/>
        </w:rPr>
        <w:t>Personal and Business Skills</w:t>
      </w:r>
      <w:r w:rsidRPr="00856F83">
        <w:rPr>
          <w:i w:val="0"/>
          <w:noProof/>
        </w:rPr>
        <w:tab/>
      </w:r>
    </w:p>
    <w:p w14:paraId="0580C38D" w14:textId="14AA3CD9"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2.</w:t>
      </w:r>
      <w:r w:rsidR="00124019">
        <w:rPr>
          <w:noProof/>
        </w:rPr>
        <w:tab/>
      </w:r>
      <w:r>
        <w:rPr>
          <w:noProof/>
        </w:rPr>
        <w:t>Peacemaker</w:t>
      </w:r>
      <w:r w:rsidRPr="00856F83">
        <w:rPr>
          <w:i w:val="0"/>
          <w:noProof/>
        </w:rPr>
        <w:tab/>
      </w:r>
    </w:p>
    <w:p w14:paraId="37DA9EA9" w14:textId="658F9CD1"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3.</w:t>
      </w:r>
      <w:r w:rsidR="00124019">
        <w:rPr>
          <w:noProof/>
        </w:rPr>
        <w:tab/>
      </w:r>
      <w:r>
        <w:rPr>
          <w:noProof/>
        </w:rPr>
        <w:t>Available</w:t>
      </w:r>
      <w:r w:rsidRPr="00856F83">
        <w:rPr>
          <w:i w:val="0"/>
          <w:noProof/>
        </w:rPr>
        <w:tab/>
      </w:r>
    </w:p>
    <w:p w14:paraId="59059A33" w14:textId="3ABF5D87" w:rsidR="00856F83" w:rsidRDefault="00856F83" w:rsidP="00561F7C">
      <w:pPr>
        <w:pStyle w:val="TOC2"/>
        <w:tabs>
          <w:tab w:val="clear" w:pos="960"/>
          <w:tab w:val="left" w:pos="720"/>
        </w:tabs>
        <w:ind w:left="360"/>
        <w:rPr>
          <w:rFonts w:asciiTheme="minorHAnsi" w:eastAsiaTheme="minorEastAsia" w:hAnsiTheme="minorHAnsi" w:cstheme="minorBidi"/>
          <w:i w:val="0"/>
          <w:noProof/>
          <w:szCs w:val="22"/>
        </w:rPr>
      </w:pPr>
      <w:r>
        <w:rPr>
          <w:noProof/>
        </w:rPr>
        <w:t>B.</w:t>
      </w:r>
      <w:r w:rsidR="00124019">
        <w:rPr>
          <w:noProof/>
        </w:rPr>
        <w:tab/>
      </w:r>
      <w:r>
        <w:rPr>
          <w:noProof/>
        </w:rPr>
        <w:t>Legal Duties of Trustee</w:t>
      </w:r>
      <w:r w:rsidRPr="00856F83">
        <w:rPr>
          <w:i w:val="0"/>
          <w:noProof/>
        </w:rPr>
        <w:tab/>
      </w:r>
    </w:p>
    <w:p w14:paraId="46F98A71" w14:textId="21B0D336"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1.</w:t>
      </w:r>
      <w:r w:rsidR="00124019">
        <w:rPr>
          <w:noProof/>
        </w:rPr>
        <w:tab/>
      </w:r>
      <w:r>
        <w:rPr>
          <w:noProof/>
        </w:rPr>
        <w:t>Duty of Loyalty</w:t>
      </w:r>
      <w:r w:rsidRPr="00856F83">
        <w:rPr>
          <w:i w:val="0"/>
          <w:noProof/>
        </w:rPr>
        <w:tab/>
      </w:r>
    </w:p>
    <w:p w14:paraId="6E40EAD0" w14:textId="3BEED0F2"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2.</w:t>
      </w:r>
      <w:r w:rsidR="00124019">
        <w:rPr>
          <w:noProof/>
        </w:rPr>
        <w:tab/>
      </w:r>
      <w:r>
        <w:rPr>
          <w:noProof/>
        </w:rPr>
        <w:t>Duty of Competence</w:t>
      </w:r>
      <w:r w:rsidRPr="00856F83">
        <w:rPr>
          <w:i w:val="0"/>
          <w:noProof/>
        </w:rPr>
        <w:tab/>
      </w:r>
    </w:p>
    <w:p w14:paraId="4B7D1EA1" w14:textId="43BC19C9"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3.</w:t>
      </w:r>
      <w:r w:rsidR="00124019">
        <w:rPr>
          <w:noProof/>
        </w:rPr>
        <w:tab/>
      </w:r>
      <w:r>
        <w:rPr>
          <w:noProof/>
        </w:rPr>
        <w:t>Duty of Disclosure</w:t>
      </w:r>
      <w:r w:rsidRPr="00856F83">
        <w:rPr>
          <w:i w:val="0"/>
          <w:noProof/>
        </w:rPr>
        <w:tab/>
      </w:r>
    </w:p>
    <w:p w14:paraId="1A0CE414" w14:textId="1AF9608E"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4.</w:t>
      </w:r>
      <w:r w:rsidR="00124019">
        <w:rPr>
          <w:noProof/>
        </w:rPr>
        <w:tab/>
      </w:r>
      <w:r>
        <w:rPr>
          <w:noProof/>
        </w:rPr>
        <w:t>Duty of Care</w:t>
      </w:r>
      <w:r w:rsidRPr="00856F83">
        <w:rPr>
          <w:i w:val="0"/>
          <w:noProof/>
        </w:rPr>
        <w:tab/>
      </w:r>
    </w:p>
    <w:p w14:paraId="7B9681B8" w14:textId="59DCEF45"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5.</w:t>
      </w:r>
      <w:r w:rsidR="00124019">
        <w:rPr>
          <w:noProof/>
        </w:rPr>
        <w:tab/>
      </w:r>
      <w:r>
        <w:rPr>
          <w:noProof/>
        </w:rPr>
        <w:t>Duty of Impartiality</w:t>
      </w:r>
      <w:r w:rsidRPr="00856F83">
        <w:rPr>
          <w:i w:val="0"/>
          <w:noProof/>
        </w:rPr>
        <w:tab/>
      </w:r>
    </w:p>
    <w:p w14:paraId="57FB615C" w14:textId="2C1F6631" w:rsidR="00856F83" w:rsidRDefault="00856F83" w:rsidP="00561F7C">
      <w:pPr>
        <w:pStyle w:val="TOC3"/>
        <w:tabs>
          <w:tab w:val="clear" w:pos="1320"/>
          <w:tab w:val="left" w:pos="1080"/>
        </w:tabs>
        <w:ind w:left="720"/>
        <w:rPr>
          <w:i w:val="0"/>
          <w:noProof/>
        </w:rPr>
      </w:pPr>
      <w:r>
        <w:rPr>
          <w:noProof/>
        </w:rPr>
        <w:t>6.</w:t>
      </w:r>
      <w:r w:rsidR="00124019">
        <w:rPr>
          <w:noProof/>
        </w:rPr>
        <w:tab/>
      </w:r>
      <w:r>
        <w:rPr>
          <w:noProof/>
        </w:rPr>
        <w:t>Ability to Waive Certain Trustee Duties</w:t>
      </w:r>
      <w:r w:rsidRPr="00856F83">
        <w:rPr>
          <w:i w:val="0"/>
          <w:noProof/>
        </w:rPr>
        <w:tab/>
      </w:r>
    </w:p>
    <w:p w14:paraId="4BA03885" w14:textId="0AEBB954" w:rsidR="00124019" w:rsidRPr="00124019" w:rsidRDefault="00124019" w:rsidP="00561F7C">
      <w:pPr>
        <w:pStyle w:val="TOC2"/>
        <w:tabs>
          <w:tab w:val="clear" w:pos="960"/>
          <w:tab w:val="left" w:pos="720"/>
        </w:tabs>
        <w:ind w:left="360"/>
        <w:rPr>
          <w:rFonts w:eastAsiaTheme="minorEastAsia"/>
        </w:rPr>
      </w:pPr>
      <w:r>
        <w:rPr>
          <w:rFonts w:eastAsiaTheme="minorEastAsia"/>
        </w:rPr>
        <w:t>C.</w:t>
      </w:r>
      <w:r>
        <w:rPr>
          <w:rFonts w:eastAsiaTheme="minorEastAsia"/>
        </w:rPr>
        <w:tab/>
        <w:t>Sources of Authority</w:t>
      </w:r>
      <w:r w:rsidRPr="00124019">
        <w:rPr>
          <w:rFonts w:eastAsiaTheme="minorEastAsia"/>
          <w:i w:val="0"/>
        </w:rPr>
        <w:tab/>
      </w:r>
    </w:p>
    <w:p w14:paraId="61D2E774" w14:textId="66A31BFC"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1.</w:t>
      </w:r>
      <w:r w:rsidR="00124019">
        <w:rPr>
          <w:noProof/>
        </w:rPr>
        <w:tab/>
      </w:r>
      <w:r>
        <w:rPr>
          <w:noProof/>
        </w:rPr>
        <w:t>Trust Instrument</w:t>
      </w:r>
      <w:r w:rsidRPr="00856F83">
        <w:rPr>
          <w:i w:val="0"/>
          <w:noProof/>
        </w:rPr>
        <w:tab/>
      </w:r>
    </w:p>
    <w:p w14:paraId="73062F98" w14:textId="24AE4088"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2.</w:t>
      </w:r>
      <w:r w:rsidR="00124019">
        <w:rPr>
          <w:noProof/>
        </w:rPr>
        <w:tab/>
      </w:r>
      <w:r>
        <w:rPr>
          <w:noProof/>
        </w:rPr>
        <w:t>Texas Trust Code</w:t>
      </w:r>
      <w:r w:rsidRPr="00856F83">
        <w:rPr>
          <w:i w:val="0"/>
          <w:noProof/>
        </w:rPr>
        <w:tab/>
      </w:r>
    </w:p>
    <w:p w14:paraId="4F5CCDFB" w14:textId="664C2398"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3.</w:t>
      </w:r>
      <w:r w:rsidR="00124019">
        <w:rPr>
          <w:noProof/>
        </w:rPr>
        <w:tab/>
      </w:r>
      <w:r>
        <w:rPr>
          <w:noProof/>
        </w:rPr>
        <w:t>Texas Common Law</w:t>
      </w:r>
      <w:r w:rsidRPr="00856F83">
        <w:rPr>
          <w:i w:val="0"/>
          <w:noProof/>
        </w:rPr>
        <w:tab/>
      </w:r>
    </w:p>
    <w:p w14:paraId="36570873" w14:textId="0FAF6B5C" w:rsidR="00856F83" w:rsidRDefault="00856F83" w:rsidP="00561F7C">
      <w:pPr>
        <w:pStyle w:val="TOC2"/>
        <w:tabs>
          <w:tab w:val="clear" w:pos="960"/>
          <w:tab w:val="left" w:pos="720"/>
        </w:tabs>
        <w:ind w:left="360"/>
        <w:rPr>
          <w:rFonts w:asciiTheme="minorHAnsi" w:eastAsiaTheme="minorEastAsia" w:hAnsiTheme="minorHAnsi" w:cstheme="minorBidi"/>
          <w:i w:val="0"/>
          <w:noProof/>
          <w:szCs w:val="22"/>
        </w:rPr>
      </w:pPr>
      <w:r>
        <w:rPr>
          <w:noProof/>
        </w:rPr>
        <w:t>D.</w:t>
      </w:r>
      <w:r w:rsidR="00124019">
        <w:rPr>
          <w:noProof/>
        </w:rPr>
        <w:tab/>
      </w:r>
      <w:r>
        <w:rPr>
          <w:noProof/>
        </w:rPr>
        <w:t>Other Potential Sources</w:t>
      </w:r>
      <w:r w:rsidRPr="00856F83">
        <w:rPr>
          <w:i w:val="0"/>
          <w:noProof/>
        </w:rPr>
        <w:tab/>
      </w:r>
    </w:p>
    <w:p w14:paraId="43EBFDB1" w14:textId="77336F24"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1.</w:t>
      </w:r>
      <w:r w:rsidR="00124019">
        <w:rPr>
          <w:noProof/>
        </w:rPr>
        <w:tab/>
      </w:r>
      <w:r>
        <w:rPr>
          <w:noProof/>
        </w:rPr>
        <w:t>Restatement of Trusts</w:t>
      </w:r>
      <w:r w:rsidRPr="00856F83">
        <w:rPr>
          <w:i w:val="0"/>
          <w:noProof/>
        </w:rPr>
        <w:tab/>
      </w:r>
    </w:p>
    <w:p w14:paraId="4F7047F1" w14:textId="7707EE12"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2.</w:t>
      </w:r>
      <w:r w:rsidR="00124019">
        <w:rPr>
          <w:noProof/>
        </w:rPr>
        <w:tab/>
      </w:r>
      <w:r>
        <w:rPr>
          <w:noProof/>
        </w:rPr>
        <w:t>Uniform Trust Code</w:t>
      </w:r>
      <w:r w:rsidRPr="00856F83">
        <w:rPr>
          <w:i w:val="0"/>
          <w:noProof/>
        </w:rPr>
        <w:tab/>
      </w:r>
    </w:p>
    <w:p w14:paraId="2184BDD2" w14:textId="175D59E4" w:rsidR="00856F83" w:rsidRDefault="00856F83" w:rsidP="00561F7C">
      <w:pPr>
        <w:pStyle w:val="TOC1"/>
        <w:tabs>
          <w:tab w:val="clear" w:pos="446"/>
          <w:tab w:val="left" w:pos="360"/>
        </w:tabs>
        <w:rPr>
          <w:rFonts w:asciiTheme="minorHAnsi" w:eastAsiaTheme="minorEastAsia" w:hAnsiTheme="minorHAnsi" w:cstheme="minorBidi"/>
          <w:smallCaps w:val="0"/>
          <w:noProof/>
          <w:szCs w:val="22"/>
        </w:rPr>
      </w:pPr>
      <w:r>
        <w:rPr>
          <w:noProof/>
        </w:rPr>
        <w:t>II.</w:t>
      </w:r>
      <w:r w:rsidR="00124019">
        <w:rPr>
          <w:noProof/>
        </w:rPr>
        <w:tab/>
      </w:r>
      <w:r>
        <w:rPr>
          <w:noProof/>
        </w:rPr>
        <w:t>The Difference Drafting Can Make</w:t>
      </w:r>
      <w:r w:rsidRPr="00856F83">
        <w:rPr>
          <w:smallCaps w:val="0"/>
          <w:noProof/>
        </w:rPr>
        <w:tab/>
      </w:r>
    </w:p>
    <w:p w14:paraId="7C72EFE3" w14:textId="5B9A80F2" w:rsidR="00856F83" w:rsidRDefault="00856F83" w:rsidP="00561F7C">
      <w:pPr>
        <w:pStyle w:val="TOC2"/>
        <w:tabs>
          <w:tab w:val="clear" w:pos="960"/>
          <w:tab w:val="left" w:pos="720"/>
        </w:tabs>
        <w:ind w:left="360"/>
        <w:rPr>
          <w:rFonts w:asciiTheme="minorHAnsi" w:eastAsiaTheme="minorEastAsia" w:hAnsiTheme="minorHAnsi" w:cstheme="minorBidi"/>
          <w:i w:val="0"/>
          <w:noProof/>
          <w:szCs w:val="22"/>
        </w:rPr>
      </w:pPr>
      <w:r>
        <w:rPr>
          <w:noProof/>
        </w:rPr>
        <w:t>A.</w:t>
      </w:r>
      <w:r w:rsidR="00124019">
        <w:rPr>
          <w:noProof/>
        </w:rPr>
        <w:tab/>
      </w:r>
      <w:r>
        <w:rPr>
          <w:noProof/>
        </w:rPr>
        <w:t>Personal Statement of Intent</w:t>
      </w:r>
      <w:r w:rsidRPr="00856F83">
        <w:rPr>
          <w:i w:val="0"/>
          <w:noProof/>
        </w:rPr>
        <w:tab/>
      </w:r>
    </w:p>
    <w:p w14:paraId="6069C60F" w14:textId="2456B324" w:rsidR="00856F83" w:rsidRDefault="00856F83" w:rsidP="00561F7C">
      <w:pPr>
        <w:pStyle w:val="TOC3"/>
        <w:tabs>
          <w:tab w:val="clear" w:pos="1320"/>
          <w:tab w:val="left" w:pos="1260"/>
        </w:tabs>
        <w:ind w:left="900"/>
        <w:rPr>
          <w:rFonts w:asciiTheme="minorHAnsi" w:eastAsiaTheme="minorEastAsia" w:hAnsiTheme="minorHAnsi" w:cstheme="minorBidi"/>
          <w:i w:val="0"/>
          <w:noProof/>
          <w:szCs w:val="22"/>
        </w:rPr>
      </w:pPr>
      <w:r>
        <w:rPr>
          <w:noProof/>
        </w:rPr>
        <w:t>1.</w:t>
      </w:r>
      <w:r w:rsidR="00124019">
        <w:rPr>
          <w:noProof/>
        </w:rPr>
        <w:tab/>
      </w:r>
      <w:r>
        <w:rPr>
          <w:noProof/>
        </w:rPr>
        <w:t>Deeper Understanding of Settlor’s Rationale</w:t>
      </w:r>
      <w:r w:rsidRPr="00856F83">
        <w:rPr>
          <w:i w:val="0"/>
          <w:noProof/>
        </w:rPr>
        <w:tab/>
      </w:r>
    </w:p>
    <w:p w14:paraId="54E00B2F" w14:textId="13AB6517" w:rsidR="00856F83" w:rsidRDefault="00856F83" w:rsidP="00561F7C">
      <w:pPr>
        <w:pStyle w:val="TOC3"/>
        <w:tabs>
          <w:tab w:val="clear" w:pos="1320"/>
          <w:tab w:val="left" w:pos="1260"/>
        </w:tabs>
        <w:ind w:left="900"/>
        <w:rPr>
          <w:rFonts w:asciiTheme="minorHAnsi" w:eastAsiaTheme="minorEastAsia" w:hAnsiTheme="minorHAnsi" w:cstheme="minorBidi"/>
          <w:i w:val="0"/>
          <w:noProof/>
          <w:szCs w:val="22"/>
        </w:rPr>
      </w:pPr>
      <w:r>
        <w:rPr>
          <w:noProof/>
        </w:rPr>
        <w:t>2.</w:t>
      </w:r>
      <w:r w:rsidR="00124019">
        <w:rPr>
          <w:noProof/>
        </w:rPr>
        <w:tab/>
      </w:r>
      <w:r>
        <w:rPr>
          <w:noProof/>
        </w:rPr>
        <w:t>Provides Guidance in Interpreting Certain Language</w:t>
      </w:r>
      <w:r w:rsidRPr="00856F83">
        <w:rPr>
          <w:i w:val="0"/>
          <w:noProof/>
        </w:rPr>
        <w:tab/>
      </w:r>
    </w:p>
    <w:p w14:paraId="3219ECD5" w14:textId="049B9E1B" w:rsidR="00856F83" w:rsidRDefault="00856F83" w:rsidP="00561F7C">
      <w:pPr>
        <w:pStyle w:val="TOC2"/>
        <w:tabs>
          <w:tab w:val="clear" w:pos="960"/>
          <w:tab w:val="left" w:pos="720"/>
        </w:tabs>
        <w:ind w:left="360"/>
        <w:rPr>
          <w:rFonts w:asciiTheme="minorHAnsi" w:eastAsiaTheme="minorEastAsia" w:hAnsiTheme="minorHAnsi" w:cstheme="minorBidi"/>
          <w:i w:val="0"/>
          <w:noProof/>
          <w:szCs w:val="22"/>
        </w:rPr>
      </w:pPr>
      <w:r>
        <w:rPr>
          <w:noProof/>
        </w:rPr>
        <w:t>B.</w:t>
      </w:r>
      <w:r w:rsidR="00124019">
        <w:rPr>
          <w:noProof/>
        </w:rPr>
        <w:tab/>
      </w:r>
      <w:r>
        <w:rPr>
          <w:noProof/>
        </w:rPr>
        <w:t>Show Me the Money — Distribution Standards</w:t>
      </w:r>
      <w:r w:rsidRPr="00856F83">
        <w:rPr>
          <w:i w:val="0"/>
          <w:noProof/>
        </w:rPr>
        <w:tab/>
      </w:r>
    </w:p>
    <w:p w14:paraId="279F6A4B" w14:textId="44E3BB13" w:rsidR="00856F83" w:rsidRDefault="00856F83" w:rsidP="00561F7C">
      <w:pPr>
        <w:pStyle w:val="TOC3"/>
        <w:tabs>
          <w:tab w:val="clear" w:pos="1320"/>
          <w:tab w:val="left" w:pos="1080"/>
          <w:tab w:val="left" w:pos="1620"/>
        </w:tabs>
        <w:ind w:left="720"/>
        <w:rPr>
          <w:rFonts w:asciiTheme="minorHAnsi" w:eastAsiaTheme="minorEastAsia" w:hAnsiTheme="minorHAnsi" w:cstheme="minorBidi"/>
          <w:i w:val="0"/>
          <w:noProof/>
          <w:szCs w:val="22"/>
        </w:rPr>
      </w:pPr>
      <w:r>
        <w:rPr>
          <w:noProof/>
        </w:rPr>
        <w:t>1.</w:t>
      </w:r>
      <w:r w:rsidR="00124019">
        <w:rPr>
          <w:noProof/>
        </w:rPr>
        <w:tab/>
        <w:t>M</w:t>
      </w:r>
      <w:r>
        <w:rPr>
          <w:noProof/>
        </w:rPr>
        <w:t>andatory Income Distributions</w:t>
      </w:r>
      <w:r w:rsidRPr="00856F83">
        <w:rPr>
          <w:i w:val="0"/>
          <w:noProof/>
        </w:rPr>
        <w:tab/>
      </w:r>
    </w:p>
    <w:p w14:paraId="29BD7A97" w14:textId="3695B5DE" w:rsidR="00856F83" w:rsidRDefault="00856F83" w:rsidP="00561F7C">
      <w:pPr>
        <w:pStyle w:val="TOC4"/>
        <w:tabs>
          <w:tab w:val="clear" w:pos="1320"/>
          <w:tab w:val="left" w:pos="1080"/>
          <w:tab w:val="left" w:pos="1440"/>
        </w:tabs>
        <w:ind w:left="1080"/>
        <w:rPr>
          <w:rFonts w:asciiTheme="minorHAnsi" w:eastAsiaTheme="minorEastAsia" w:hAnsiTheme="minorHAnsi" w:cstheme="minorBidi"/>
          <w:noProof/>
          <w:szCs w:val="22"/>
        </w:rPr>
      </w:pPr>
      <w:r>
        <w:rPr>
          <w:noProof/>
        </w:rPr>
        <w:t>a.</w:t>
      </w:r>
      <w:r w:rsidR="00124019">
        <w:rPr>
          <w:noProof/>
        </w:rPr>
        <w:tab/>
      </w:r>
      <w:r>
        <w:rPr>
          <w:noProof/>
        </w:rPr>
        <w:t>Trust Investments</w:t>
      </w:r>
      <w:r w:rsidRPr="00124019">
        <w:rPr>
          <w:i w:val="0"/>
          <w:noProof/>
        </w:rPr>
        <w:tab/>
      </w:r>
    </w:p>
    <w:p w14:paraId="6514C74C" w14:textId="72BE5FEC" w:rsidR="00856F83" w:rsidRDefault="00856F83" w:rsidP="00561F7C">
      <w:pPr>
        <w:pStyle w:val="TOC4"/>
        <w:tabs>
          <w:tab w:val="clear" w:pos="1320"/>
          <w:tab w:val="left" w:pos="1080"/>
          <w:tab w:val="left" w:pos="1440"/>
        </w:tabs>
        <w:ind w:left="1080"/>
        <w:rPr>
          <w:rFonts w:asciiTheme="minorHAnsi" w:eastAsiaTheme="minorEastAsia" w:hAnsiTheme="minorHAnsi" w:cstheme="minorBidi"/>
          <w:noProof/>
          <w:szCs w:val="22"/>
        </w:rPr>
      </w:pPr>
      <w:r>
        <w:rPr>
          <w:noProof/>
        </w:rPr>
        <w:t>b.</w:t>
      </w:r>
      <w:r w:rsidR="00124019">
        <w:rPr>
          <w:noProof/>
        </w:rPr>
        <w:tab/>
      </w:r>
      <w:r>
        <w:rPr>
          <w:noProof/>
        </w:rPr>
        <w:t>Allocation Between Income and Principal</w:t>
      </w:r>
      <w:r w:rsidRPr="00124019">
        <w:rPr>
          <w:i w:val="0"/>
          <w:noProof/>
        </w:rPr>
        <w:tab/>
      </w:r>
    </w:p>
    <w:p w14:paraId="692EA3A5" w14:textId="428135EF" w:rsidR="00856F83" w:rsidRDefault="00856F83" w:rsidP="00561F7C">
      <w:pPr>
        <w:pStyle w:val="TOC4"/>
        <w:tabs>
          <w:tab w:val="clear" w:pos="1320"/>
          <w:tab w:val="left" w:pos="1080"/>
          <w:tab w:val="left" w:pos="1440"/>
        </w:tabs>
        <w:ind w:left="1080"/>
        <w:rPr>
          <w:rFonts w:asciiTheme="minorHAnsi" w:eastAsiaTheme="minorEastAsia" w:hAnsiTheme="minorHAnsi" w:cstheme="minorBidi"/>
          <w:noProof/>
          <w:szCs w:val="22"/>
        </w:rPr>
      </w:pPr>
      <w:r w:rsidRPr="00CD01E9">
        <w:rPr>
          <w:noProof/>
        </w:rPr>
        <w:t>c.</w:t>
      </w:r>
      <w:r w:rsidR="00124019">
        <w:rPr>
          <w:noProof/>
        </w:rPr>
        <w:tab/>
      </w:r>
      <w:r w:rsidRPr="00CD01E9">
        <w:rPr>
          <w:noProof/>
        </w:rPr>
        <w:t>Power to Adjust</w:t>
      </w:r>
      <w:r w:rsidRPr="00124019">
        <w:rPr>
          <w:i w:val="0"/>
          <w:noProof/>
        </w:rPr>
        <w:tab/>
      </w:r>
    </w:p>
    <w:p w14:paraId="3D48E681" w14:textId="202A36F6"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2.</w:t>
      </w:r>
      <w:r w:rsidR="00124019">
        <w:rPr>
          <w:noProof/>
        </w:rPr>
        <w:tab/>
      </w:r>
      <w:r w:rsidRPr="00CD01E9">
        <w:rPr>
          <w:iCs/>
          <w:noProof/>
        </w:rPr>
        <w:t>Discretionary</w:t>
      </w:r>
      <w:r>
        <w:rPr>
          <w:noProof/>
        </w:rPr>
        <w:t xml:space="preserve"> Distributions</w:t>
      </w:r>
      <w:r w:rsidRPr="00856F83">
        <w:rPr>
          <w:i w:val="0"/>
          <w:noProof/>
        </w:rPr>
        <w:tab/>
      </w:r>
    </w:p>
    <w:p w14:paraId="30BFBC7B" w14:textId="79F9F588" w:rsidR="00856F83" w:rsidRDefault="00856F83" w:rsidP="00561F7C">
      <w:pPr>
        <w:pStyle w:val="TOC4"/>
        <w:tabs>
          <w:tab w:val="clear" w:pos="1320"/>
          <w:tab w:val="left" w:pos="1080"/>
          <w:tab w:val="left" w:pos="1440"/>
        </w:tabs>
        <w:ind w:left="1080"/>
        <w:rPr>
          <w:rFonts w:asciiTheme="minorHAnsi" w:eastAsiaTheme="minorEastAsia" w:hAnsiTheme="minorHAnsi" w:cstheme="minorBidi"/>
          <w:noProof/>
          <w:szCs w:val="22"/>
        </w:rPr>
      </w:pPr>
      <w:r>
        <w:rPr>
          <w:noProof/>
        </w:rPr>
        <w:t>a.</w:t>
      </w:r>
      <w:r w:rsidR="00BB4B0B">
        <w:rPr>
          <w:noProof/>
        </w:rPr>
        <w:tab/>
      </w:r>
      <w:r>
        <w:rPr>
          <w:noProof/>
        </w:rPr>
        <w:t xml:space="preserve">Ascertainable </w:t>
      </w:r>
      <w:r w:rsidR="00947C65">
        <w:rPr>
          <w:noProof/>
        </w:rPr>
        <w:t>S</w:t>
      </w:r>
      <w:r>
        <w:rPr>
          <w:noProof/>
        </w:rPr>
        <w:t>tandard</w:t>
      </w:r>
      <w:r w:rsidRPr="00124019">
        <w:rPr>
          <w:i w:val="0"/>
          <w:noProof/>
        </w:rPr>
        <w:tab/>
      </w:r>
    </w:p>
    <w:p w14:paraId="46AE7773" w14:textId="58977392" w:rsidR="00856F83" w:rsidRDefault="00856F83" w:rsidP="00561F7C">
      <w:pPr>
        <w:pStyle w:val="TOC50"/>
        <w:tabs>
          <w:tab w:val="clear" w:pos="1627"/>
          <w:tab w:val="left" w:pos="1440"/>
          <w:tab w:val="left" w:pos="1800"/>
        </w:tabs>
        <w:ind w:left="1440"/>
        <w:rPr>
          <w:rFonts w:asciiTheme="minorHAnsi" w:eastAsiaTheme="minorEastAsia" w:hAnsiTheme="minorHAnsi" w:cstheme="minorBidi"/>
          <w:szCs w:val="22"/>
        </w:rPr>
      </w:pPr>
      <w:r>
        <w:t>i.</w:t>
      </w:r>
      <w:r w:rsidR="00BB4B0B">
        <w:tab/>
      </w:r>
      <w:r>
        <w:t>Health</w:t>
      </w:r>
      <w:r w:rsidRPr="00124019">
        <w:rPr>
          <w:i w:val="0"/>
        </w:rPr>
        <w:tab/>
      </w:r>
    </w:p>
    <w:p w14:paraId="2E295C88" w14:textId="16A30D61" w:rsidR="00856F83" w:rsidRDefault="00856F83" w:rsidP="00561F7C">
      <w:pPr>
        <w:pStyle w:val="TOC50"/>
        <w:tabs>
          <w:tab w:val="clear" w:pos="1627"/>
          <w:tab w:val="left" w:pos="1440"/>
          <w:tab w:val="left" w:pos="1800"/>
        </w:tabs>
        <w:ind w:left="1440"/>
        <w:rPr>
          <w:rFonts w:asciiTheme="minorHAnsi" w:eastAsiaTheme="minorEastAsia" w:hAnsiTheme="minorHAnsi" w:cstheme="minorBidi"/>
          <w:szCs w:val="22"/>
        </w:rPr>
      </w:pPr>
      <w:r>
        <w:t>ii.</w:t>
      </w:r>
      <w:r w:rsidR="00124019">
        <w:tab/>
      </w:r>
      <w:r>
        <w:t>Education</w:t>
      </w:r>
      <w:r w:rsidRPr="0092439F">
        <w:rPr>
          <w:i w:val="0"/>
        </w:rPr>
        <w:tab/>
      </w:r>
    </w:p>
    <w:p w14:paraId="03CF9A83" w14:textId="0D962B53" w:rsidR="00856F83" w:rsidRDefault="00856F83" w:rsidP="00561F7C">
      <w:pPr>
        <w:pStyle w:val="TOC50"/>
        <w:tabs>
          <w:tab w:val="clear" w:pos="1627"/>
          <w:tab w:val="left" w:pos="1440"/>
          <w:tab w:val="left" w:pos="1800"/>
        </w:tabs>
        <w:ind w:left="1440"/>
        <w:rPr>
          <w:rFonts w:asciiTheme="minorHAnsi" w:eastAsiaTheme="minorEastAsia" w:hAnsiTheme="minorHAnsi" w:cstheme="minorBidi"/>
          <w:szCs w:val="22"/>
        </w:rPr>
      </w:pPr>
      <w:r>
        <w:t>iii.</w:t>
      </w:r>
      <w:r w:rsidR="00124019">
        <w:tab/>
      </w:r>
      <w:r>
        <w:t>“Support” and “Maintenan</w:t>
      </w:r>
      <w:r w:rsidR="009A46AE">
        <w:t>c</w:t>
      </w:r>
      <w:r>
        <w:t>e”</w:t>
      </w:r>
      <w:r w:rsidRPr="0092439F">
        <w:rPr>
          <w:i w:val="0"/>
        </w:rPr>
        <w:tab/>
      </w:r>
    </w:p>
    <w:p w14:paraId="6110D68D" w14:textId="77777777" w:rsidR="00BB4B0B" w:rsidRDefault="00856F83" w:rsidP="00561F7C">
      <w:pPr>
        <w:pStyle w:val="TOC4"/>
        <w:tabs>
          <w:tab w:val="clear" w:pos="1320"/>
          <w:tab w:val="left" w:pos="1080"/>
          <w:tab w:val="left" w:pos="1440"/>
        </w:tabs>
        <w:ind w:left="1080"/>
        <w:rPr>
          <w:noProof/>
        </w:rPr>
      </w:pPr>
      <w:r>
        <w:rPr>
          <w:noProof/>
        </w:rPr>
        <w:lastRenderedPageBreak/>
        <w:t>b.</w:t>
      </w:r>
      <w:r w:rsidR="00BB4B0B">
        <w:rPr>
          <w:noProof/>
        </w:rPr>
        <w:tab/>
      </w:r>
      <w:r>
        <w:rPr>
          <w:noProof/>
        </w:rPr>
        <w:t>Factors to Consider in Interpreting Distribution</w:t>
      </w:r>
    </w:p>
    <w:p w14:paraId="4E67438B" w14:textId="4DCC2B65" w:rsidR="00856F83" w:rsidRDefault="00BB4B0B" w:rsidP="00561F7C">
      <w:pPr>
        <w:pStyle w:val="TOC4"/>
        <w:tabs>
          <w:tab w:val="clear" w:pos="1320"/>
          <w:tab w:val="left" w:pos="1080"/>
          <w:tab w:val="left" w:pos="1440"/>
        </w:tabs>
        <w:ind w:left="1080"/>
        <w:rPr>
          <w:rFonts w:asciiTheme="minorHAnsi" w:eastAsiaTheme="minorEastAsia" w:hAnsiTheme="minorHAnsi" w:cstheme="minorBidi"/>
          <w:noProof/>
          <w:szCs w:val="22"/>
        </w:rPr>
      </w:pPr>
      <w:r>
        <w:rPr>
          <w:noProof/>
        </w:rPr>
        <w:tab/>
      </w:r>
      <w:r w:rsidR="00856F83">
        <w:rPr>
          <w:noProof/>
        </w:rPr>
        <w:t>Standards</w:t>
      </w:r>
      <w:r w:rsidR="00856F83" w:rsidRPr="0092439F">
        <w:rPr>
          <w:i w:val="0"/>
          <w:noProof/>
        </w:rPr>
        <w:tab/>
      </w:r>
    </w:p>
    <w:p w14:paraId="6A970EEC" w14:textId="1F05D31D" w:rsidR="00856F83" w:rsidRDefault="00856F83" w:rsidP="00561F7C">
      <w:pPr>
        <w:pStyle w:val="TOC50"/>
        <w:tabs>
          <w:tab w:val="clear" w:pos="1627"/>
          <w:tab w:val="left" w:pos="1440"/>
          <w:tab w:val="left" w:pos="1800"/>
        </w:tabs>
        <w:ind w:left="1440"/>
        <w:rPr>
          <w:rFonts w:asciiTheme="minorHAnsi" w:eastAsiaTheme="minorEastAsia" w:hAnsiTheme="minorHAnsi" w:cstheme="minorBidi"/>
          <w:szCs w:val="22"/>
        </w:rPr>
      </w:pPr>
      <w:r>
        <w:t>i.</w:t>
      </w:r>
      <w:r w:rsidR="00814430">
        <w:tab/>
      </w:r>
      <w:r>
        <w:t>Trust Size</w:t>
      </w:r>
      <w:r w:rsidRPr="0092439F">
        <w:rPr>
          <w:i w:val="0"/>
        </w:rPr>
        <w:tab/>
      </w:r>
    </w:p>
    <w:p w14:paraId="4024755C" w14:textId="6F4A1297" w:rsidR="00856F83" w:rsidRDefault="00856F83" w:rsidP="00561F7C">
      <w:pPr>
        <w:pStyle w:val="TOC50"/>
        <w:tabs>
          <w:tab w:val="clear" w:pos="1627"/>
          <w:tab w:val="left" w:pos="1440"/>
          <w:tab w:val="left" w:pos="1800"/>
        </w:tabs>
        <w:ind w:left="1440"/>
        <w:rPr>
          <w:rFonts w:asciiTheme="minorHAnsi" w:eastAsiaTheme="minorEastAsia" w:hAnsiTheme="minorHAnsi" w:cstheme="minorBidi"/>
          <w:szCs w:val="22"/>
        </w:rPr>
      </w:pPr>
      <w:r>
        <w:t>ii.</w:t>
      </w:r>
      <w:r w:rsidR="00814430">
        <w:tab/>
      </w:r>
      <w:r>
        <w:t>Standard of Living</w:t>
      </w:r>
      <w:r w:rsidRPr="0092439F">
        <w:rPr>
          <w:i w:val="0"/>
        </w:rPr>
        <w:tab/>
      </w:r>
    </w:p>
    <w:p w14:paraId="51B72D67" w14:textId="3AE83931" w:rsidR="00856F83" w:rsidRDefault="00856F83" w:rsidP="00561F7C">
      <w:pPr>
        <w:pStyle w:val="TOC50"/>
        <w:tabs>
          <w:tab w:val="clear" w:pos="1627"/>
          <w:tab w:val="left" w:pos="1440"/>
          <w:tab w:val="left" w:pos="1800"/>
        </w:tabs>
        <w:ind w:left="1440"/>
        <w:rPr>
          <w:rFonts w:asciiTheme="minorHAnsi" w:eastAsiaTheme="minorEastAsia" w:hAnsiTheme="minorHAnsi" w:cstheme="minorBidi"/>
          <w:szCs w:val="22"/>
        </w:rPr>
      </w:pPr>
      <w:r>
        <w:t>iii.</w:t>
      </w:r>
      <w:r w:rsidR="00814430">
        <w:tab/>
      </w:r>
      <w:r>
        <w:t>Present Versus Future Needs</w:t>
      </w:r>
      <w:r w:rsidRPr="0092439F">
        <w:rPr>
          <w:i w:val="0"/>
        </w:rPr>
        <w:tab/>
      </w:r>
    </w:p>
    <w:p w14:paraId="7B55A03B" w14:textId="32B531F1" w:rsidR="00856F83" w:rsidRDefault="00856F83" w:rsidP="00561F7C">
      <w:pPr>
        <w:pStyle w:val="TOC4"/>
        <w:tabs>
          <w:tab w:val="clear" w:pos="1320"/>
          <w:tab w:val="left" w:pos="1080"/>
          <w:tab w:val="left" w:pos="1440"/>
        </w:tabs>
        <w:ind w:left="1080"/>
        <w:rPr>
          <w:rFonts w:asciiTheme="minorHAnsi" w:eastAsiaTheme="minorEastAsia" w:hAnsiTheme="minorHAnsi" w:cstheme="minorBidi"/>
          <w:noProof/>
          <w:szCs w:val="22"/>
        </w:rPr>
      </w:pPr>
      <w:r>
        <w:rPr>
          <w:noProof/>
        </w:rPr>
        <w:t>c.</w:t>
      </w:r>
      <w:r w:rsidR="00814430">
        <w:rPr>
          <w:noProof/>
        </w:rPr>
        <w:tab/>
      </w:r>
      <w:r>
        <w:rPr>
          <w:noProof/>
        </w:rPr>
        <w:t>Tax Planning</w:t>
      </w:r>
      <w:r w:rsidRPr="0092439F">
        <w:rPr>
          <w:i w:val="0"/>
          <w:noProof/>
        </w:rPr>
        <w:tab/>
      </w:r>
    </w:p>
    <w:p w14:paraId="7E95CDD5" w14:textId="77777777" w:rsidR="00814430" w:rsidRDefault="00856F83" w:rsidP="00561F7C">
      <w:pPr>
        <w:pStyle w:val="TOC50"/>
        <w:tabs>
          <w:tab w:val="clear" w:pos="1627"/>
          <w:tab w:val="left" w:pos="1440"/>
          <w:tab w:val="left" w:pos="1800"/>
        </w:tabs>
        <w:ind w:left="1440"/>
      </w:pPr>
      <w:r>
        <w:t>i.</w:t>
      </w:r>
      <w:r w:rsidR="00814430">
        <w:tab/>
      </w:r>
      <w:r>
        <w:t>Avoidance of Gift Tax Consequences to</w:t>
      </w:r>
    </w:p>
    <w:p w14:paraId="1EF0F324" w14:textId="2E0F47FF" w:rsidR="00856F83" w:rsidRDefault="00814430" w:rsidP="00561F7C">
      <w:pPr>
        <w:pStyle w:val="TOC50"/>
        <w:tabs>
          <w:tab w:val="clear" w:pos="1627"/>
          <w:tab w:val="left" w:pos="1440"/>
          <w:tab w:val="left" w:pos="1800"/>
        </w:tabs>
        <w:ind w:left="1440"/>
        <w:rPr>
          <w:rFonts w:asciiTheme="minorHAnsi" w:eastAsiaTheme="minorEastAsia" w:hAnsiTheme="minorHAnsi" w:cstheme="minorBidi"/>
          <w:szCs w:val="22"/>
        </w:rPr>
      </w:pPr>
      <w:r>
        <w:tab/>
        <w:t>B</w:t>
      </w:r>
      <w:r w:rsidR="00856F83">
        <w:t>eneficiary/Trustee</w:t>
      </w:r>
      <w:r w:rsidR="00856F83" w:rsidRPr="0092439F">
        <w:rPr>
          <w:i w:val="0"/>
        </w:rPr>
        <w:tab/>
      </w:r>
    </w:p>
    <w:p w14:paraId="1C7633D7" w14:textId="77777777" w:rsidR="00814430" w:rsidRDefault="00856F83" w:rsidP="00561F7C">
      <w:pPr>
        <w:pStyle w:val="TOC50"/>
        <w:tabs>
          <w:tab w:val="clear" w:pos="1627"/>
          <w:tab w:val="left" w:pos="1440"/>
          <w:tab w:val="left" w:pos="1800"/>
        </w:tabs>
        <w:ind w:left="1440"/>
      </w:pPr>
      <w:r>
        <w:t>ii.</w:t>
      </w:r>
      <w:r w:rsidR="00814430">
        <w:tab/>
      </w:r>
      <w:r>
        <w:t>Avoidance of Estate Tax Inclusion If Settlor Is</w:t>
      </w:r>
    </w:p>
    <w:p w14:paraId="1CAC81B9" w14:textId="1C7CA6E2" w:rsidR="00856F83" w:rsidRDefault="00814430" w:rsidP="00561F7C">
      <w:pPr>
        <w:pStyle w:val="TOC50"/>
        <w:tabs>
          <w:tab w:val="clear" w:pos="1627"/>
          <w:tab w:val="left" w:pos="1440"/>
          <w:tab w:val="left" w:pos="1800"/>
        </w:tabs>
        <w:ind w:left="1440"/>
        <w:rPr>
          <w:rFonts w:asciiTheme="minorHAnsi" w:eastAsiaTheme="minorEastAsia" w:hAnsiTheme="minorHAnsi" w:cstheme="minorBidi"/>
          <w:szCs w:val="22"/>
        </w:rPr>
      </w:pPr>
      <w:r>
        <w:tab/>
      </w:r>
      <w:r w:rsidR="00856F83">
        <w:t>Trustee</w:t>
      </w:r>
      <w:r w:rsidR="00856F83" w:rsidRPr="0092439F">
        <w:rPr>
          <w:i w:val="0"/>
        </w:rPr>
        <w:tab/>
      </w:r>
    </w:p>
    <w:p w14:paraId="346EB1E3" w14:textId="77777777" w:rsidR="00814430" w:rsidRDefault="00856F83" w:rsidP="00561F7C">
      <w:pPr>
        <w:pStyle w:val="TOC50"/>
        <w:tabs>
          <w:tab w:val="clear" w:pos="1627"/>
          <w:tab w:val="left" w:pos="1440"/>
          <w:tab w:val="left" w:pos="1800"/>
        </w:tabs>
        <w:ind w:left="1440"/>
      </w:pPr>
      <w:r>
        <w:t>iii.</w:t>
      </w:r>
      <w:r w:rsidR="00814430">
        <w:tab/>
      </w:r>
      <w:r>
        <w:t>Settlor or Settlor’s Spouse as Trustee — Income Tax</w:t>
      </w:r>
    </w:p>
    <w:p w14:paraId="20F9614A" w14:textId="4D730EDD" w:rsidR="00856F83" w:rsidRDefault="00814430" w:rsidP="00561F7C">
      <w:pPr>
        <w:pStyle w:val="TOC50"/>
        <w:tabs>
          <w:tab w:val="clear" w:pos="1627"/>
          <w:tab w:val="left" w:pos="1440"/>
          <w:tab w:val="left" w:pos="1800"/>
        </w:tabs>
        <w:ind w:left="1440"/>
        <w:rPr>
          <w:rFonts w:asciiTheme="minorHAnsi" w:eastAsiaTheme="minorEastAsia" w:hAnsiTheme="minorHAnsi" w:cstheme="minorBidi"/>
          <w:szCs w:val="22"/>
        </w:rPr>
      </w:pPr>
      <w:r>
        <w:tab/>
      </w:r>
      <w:r w:rsidR="00856F83">
        <w:t>Relevance</w:t>
      </w:r>
      <w:r w:rsidR="00856F83" w:rsidRPr="0092439F">
        <w:rPr>
          <w:i w:val="0"/>
        </w:rPr>
        <w:tab/>
      </w:r>
    </w:p>
    <w:p w14:paraId="1A160783" w14:textId="1FFC9148" w:rsidR="00856F83" w:rsidRDefault="00856F83" w:rsidP="00561F7C">
      <w:pPr>
        <w:pStyle w:val="TOC4"/>
        <w:tabs>
          <w:tab w:val="clear" w:pos="1320"/>
          <w:tab w:val="left" w:pos="1080"/>
          <w:tab w:val="left" w:pos="1440"/>
        </w:tabs>
        <w:ind w:left="1080"/>
        <w:rPr>
          <w:rFonts w:asciiTheme="minorHAnsi" w:eastAsiaTheme="minorEastAsia" w:hAnsiTheme="minorHAnsi" w:cstheme="minorBidi"/>
          <w:noProof/>
          <w:szCs w:val="22"/>
        </w:rPr>
      </w:pPr>
      <w:r>
        <w:rPr>
          <w:noProof/>
        </w:rPr>
        <w:t>d.</w:t>
      </w:r>
      <w:r w:rsidR="00976138">
        <w:rPr>
          <w:noProof/>
        </w:rPr>
        <w:tab/>
      </w:r>
      <w:r>
        <w:rPr>
          <w:noProof/>
        </w:rPr>
        <w:t>Asset Protection Planning</w:t>
      </w:r>
      <w:r w:rsidRPr="0092439F">
        <w:rPr>
          <w:i w:val="0"/>
          <w:noProof/>
        </w:rPr>
        <w:tab/>
      </w:r>
    </w:p>
    <w:p w14:paraId="5A2AE5D5" w14:textId="6E741648" w:rsidR="00856F83" w:rsidRDefault="00856F83" w:rsidP="00561F7C">
      <w:pPr>
        <w:pStyle w:val="TOC50"/>
        <w:tabs>
          <w:tab w:val="clear" w:pos="1627"/>
          <w:tab w:val="left" w:pos="1440"/>
          <w:tab w:val="left" w:pos="1800"/>
        </w:tabs>
        <w:ind w:left="1440"/>
        <w:rPr>
          <w:rFonts w:asciiTheme="minorHAnsi" w:eastAsiaTheme="minorEastAsia" w:hAnsiTheme="minorHAnsi" w:cstheme="minorBidi"/>
          <w:szCs w:val="22"/>
        </w:rPr>
      </w:pPr>
      <w:r>
        <w:t>i.</w:t>
      </w:r>
      <w:r w:rsidR="00976138">
        <w:tab/>
      </w:r>
      <w:r>
        <w:t>Texas</w:t>
      </w:r>
      <w:r w:rsidRPr="0092439F">
        <w:rPr>
          <w:i w:val="0"/>
        </w:rPr>
        <w:tab/>
      </w:r>
    </w:p>
    <w:p w14:paraId="3AC013E4" w14:textId="65231013" w:rsidR="00856F83" w:rsidRDefault="00856F83" w:rsidP="00561F7C">
      <w:pPr>
        <w:pStyle w:val="TOC50"/>
        <w:tabs>
          <w:tab w:val="clear" w:pos="1627"/>
          <w:tab w:val="left" w:pos="1440"/>
          <w:tab w:val="left" w:pos="1800"/>
        </w:tabs>
        <w:ind w:left="1440"/>
        <w:rPr>
          <w:rFonts w:asciiTheme="minorHAnsi" w:eastAsiaTheme="minorEastAsia" w:hAnsiTheme="minorHAnsi" w:cstheme="minorBidi"/>
          <w:szCs w:val="22"/>
        </w:rPr>
      </w:pPr>
      <w:r>
        <w:t>ii</w:t>
      </w:r>
      <w:r w:rsidR="00976138">
        <w:t>.</w:t>
      </w:r>
      <w:r w:rsidR="00976138">
        <w:tab/>
      </w:r>
      <w:r>
        <w:t>Not Texas</w:t>
      </w:r>
      <w:r w:rsidRPr="0092439F">
        <w:rPr>
          <w:i w:val="0"/>
        </w:rPr>
        <w:tab/>
      </w:r>
    </w:p>
    <w:p w14:paraId="4BEAB604" w14:textId="77777777" w:rsidR="00124019" w:rsidRDefault="00856F83" w:rsidP="00561F7C">
      <w:pPr>
        <w:pStyle w:val="TOC3"/>
        <w:tabs>
          <w:tab w:val="clear" w:pos="1320"/>
          <w:tab w:val="left" w:pos="1080"/>
        </w:tabs>
        <w:ind w:left="720"/>
        <w:rPr>
          <w:noProof/>
        </w:rPr>
      </w:pPr>
      <w:r>
        <w:rPr>
          <w:noProof/>
        </w:rPr>
        <w:t>3.</w:t>
      </w:r>
      <w:r w:rsidR="00124019">
        <w:rPr>
          <w:noProof/>
        </w:rPr>
        <w:tab/>
      </w:r>
      <w:r>
        <w:rPr>
          <w:noProof/>
        </w:rPr>
        <w:t>Using Distribution Standards to Encourage/Discourage</w:t>
      </w:r>
    </w:p>
    <w:p w14:paraId="75C7E0CD" w14:textId="4F7CE687" w:rsidR="00856F83" w:rsidRDefault="00124019" w:rsidP="00561F7C">
      <w:pPr>
        <w:pStyle w:val="TOC3"/>
        <w:tabs>
          <w:tab w:val="clear" w:pos="1320"/>
          <w:tab w:val="left" w:pos="1080"/>
        </w:tabs>
        <w:rPr>
          <w:rFonts w:asciiTheme="minorHAnsi" w:eastAsiaTheme="minorEastAsia" w:hAnsiTheme="minorHAnsi" w:cstheme="minorBidi"/>
          <w:i w:val="0"/>
          <w:noProof/>
          <w:szCs w:val="22"/>
        </w:rPr>
      </w:pPr>
      <w:r>
        <w:rPr>
          <w:noProof/>
        </w:rPr>
        <w:tab/>
      </w:r>
      <w:r w:rsidR="00856F83">
        <w:rPr>
          <w:noProof/>
        </w:rPr>
        <w:t>Behaviors</w:t>
      </w:r>
      <w:r w:rsidR="00856F83" w:rsidRPr="00856F83">
        <w:rPr>
          <w:i w:val="0"/>
          <w:noProof/>
        </w:rPr>
        <w:tab/>
      </w:r>
    </w:p>
    <w:p w14:paraId="1008038C" w14:textId="28CA937D" w:rsidR="00856F83" w:rsidRDefault="00856F83" w:rsidP="00561F7C">
      <w:pPr>
        <w:pStyle w:val="TOC4"/>
        <w:tabs>
          <w:tab w:val="clear" w:pos="1320"/>
          <w:tab w:val="left" w:pos="1080"/>
          <w:tab w:val="left" w:pos="1440"/>
        </w:tabs>
        <w:ind w:left="1080"/>
        <w:rPr>
          <w:rFonts w:asciiTheme="minorHAnsi" w:eastAsiaTheme="minorEastAsia" w:hAnsiTheme="minorHAnsi" w:cstheme="minorBidi"/>
          <w:noProof/>
          <w:szCs w:val="22"/>
        </w:rPr>
      </w:pPr>
      <w:r>
        <w:rPr>
          <w:noProof/>
        </w:rPr>
        <w:t>a.</w:t>
      </w:r>
      <w:r w:rsidR="00976138">
        <w:rPr>
          <w:noProof/>
        </w:rPr>
        <w:tab/>
      </w:r>
      <w:r>
        <w:rPr>
          <w:noProof/>
        </w:rPr>
        <w:t>Incentivizing Distributions</w:t>
      </w:r>
      <w:r w:rsidRPr="0092439F">
        <w:rPr>
          <w:i w:val="0"/>
          <w:noProof/>
        </w:rPr>
        <w:tab/>
      </w:r>
    </w:p>
    <w:p w14:paraId="1E7CDB11" w14:textId="17A90ED2" w:rsidR="00856F83" w:rsidRDefault="00856F83" w:rsidP="00561F7C">
      <w:pPr>
        <w:pStyle w:val="TOC4"/>
        <w:tabs>
          <w:tab w:val="clear" w:pos="1320"/>
          <w:tab w:val="left" w:pos="1080"/>
          <w:tab w:val="left" w:pos="1440"/>
        </w:tabs>
        <w:ind w:left="1080"/>
        <w:rPr>
          <w:rFonts w:asciiTheme="minorHAnsi" w:eastAsiaTheme="minorEastAsia" w:hAnsiTheme="minorHAnsi" w:cstheme="minorBidi"/>
          <w:noProof/>
          <w:szCs w:val="22"/>
        </w:rPr>
      </w:pPr>
      <w:r>
        <w:rPr>
          <w:noProof/>
        </w:rPr>
        <w:t>b.</w:t>
      </w:r>
      <w:r w:rsidR="00976138">
        <w:rPr>
          <w:noProof/>
        </w:rPr>
        <w:tab/>
      </w:r>
      <w:r>
        <w:rPr>
          <w:noProof/>
        </w:rPr>
        <w:t>Limiting Distributions</w:t>
      </w:r>
      <w:r w:rsidRPr="0092439F">
        <w:rPr>
          <w:i w:val="0"/>
          <w:noProof/>
        </w:rPr>
        <w:tab/>
      </w:r>
    </w:p>
    <w:p w14:paraId="36ECE069" w14:textId="19B54118" w:rsidR="00856F83" w:rsidRDefault="00856F83" w:rsidP="00561F7C">
      <w:pPr>
        <w:pStyle w:val="TOC2"/>
        <w:tabs>
          <w:tab w:val="clear" w:pos="960"/>
          <w:tab w:val="left" w:pos="720"/>
        </w:tabs>
        <w:ind w:left="360"/>
        <w:rPr>
          <w:rFonts w:asciiTheme="minorHAnsi" w:eastAsiaTheme="minorEastAsia" w:hAnsiTheme="minorHAnsi" w:cstheme="minorBidi"/>
          <w:i w:val="0"/>
          <w:noProof/>
          <w:szCs w:val="22"/>
        </w:rPr>
      </w:pPr>
      <w:r>
        <w:rPr>
          <w:noProof/>
        </w:rPr>
        <w:t>C.</w:t>
      </w:r>
      <w:r w:rsidR="00124019">
        <w:rPr>
          <w:noProof/>
        </w:rPr>
        <w:tab/>
      </w:r>
      <w:r>
        <w:rPr>
          <w:noProof/>
        </w:rPr>
        <w:t>Accountings</w:t>
      </w:r>
      <w:r w:rsidRPr="00856F83">
        <w:rPr>
          <w:i w:val="0"/>
          <w:noProof/>
        </w:rPr>
        <w:tab/>
      </w:r>
    </w:p>
    <w:p w14:paraId="3869EFB1" w14:textId="5508D44F"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1.</w:t>
      </w:r>
      <w:r w:rsidR="00124019">
        <w:rPr>
          <w:noProof/>
        </w:rPr>
        <w:tab/>
      </w:r>
      <w:r>
        <w:rPr>
          <w:noProof/>
        </w:rPr>
        <w:t>When Are Accounting</w:t>
      </w:r>
      <w:r w:rsidR="009A46AE">
        <w:rPr>
          <w:noProof/>
        </w:rPr>
        <w:t>s</w:t>
      </w:r>
      <w:r>
        <w:rPr>
          <w:noProof/>
        </w:rPr>
        <w:t xml:space="preserve"> Required?</w:t>
      </w:r>
      <w:r w:rsidRPr="00856F83">
        <w:rPr>
          <w:i w:val="0"/>
          <w:noProof/>
        </w:rPr>
        <w:tab/>
      </w:r>
    </w:p>
    <w:p w14:paraId="531D2115" w14:textId="4F0D843E" w:rsidR="00856F83" w:rsidRDefault="00856F83" w:rsidP="00561F7C">
      <w:pPr>
        <w:pStyle w:val="TOC4"/>
        <w:tabs>
          <w:tab w:val="clear" w:pos="1320"/>
          <w:tab w:val="left" w:pos="1080"/>
          <w:tab w:val="left" w:pos="1440"/>
        </w:tabs>
        <w:ind w:left="1080"/>
        <w:rPr>
          <w:rFonts w:asciiTheme="minorHAnsi" w:eastAsiaTheme="minorEastAsia" w:hAnsiTheme="minorHAnsi" w:cstheme="minorBidi"/>
          <w:noProof/>
          <w:szCs w:val="22"/>
        </w:rPr>
      </w:pPr>
      <w:r>
        <w:rPr>
          <w:noProof/>
        </w:rPr>
        <w:t>a.</w:t>
      </w:r>
      <w:r w:rsidR="00976138">
        <w:rPr>
          <w:noProof/>
        </w:rPr>
        <w:tab/>
      </w:r>
      <w:r>
        <w:rPr>
          <w:noProof/>
        </w:rPr>
        <w:t>Statutory Accountings</w:t>
      </w:r>
      <w:r w:rsidRPr="0092439F">
        <w:rPr>
          <w:i w:val="0"/>
          <w:noProof/>
        </w:rPr>
        <w:tab/>
      </w:r>
    </w:p>
    <w:p w14:paraId="1F8AFCEB" w14:textId="28110876" w:rsidR="00856F83" w:rsidRDefault="00856F83" w:rsidP="00561F7C">
      <w:pPr>
        <w:pStyle w:val="TOC4"/>
        <w:tabs>
          <w:tab w:val="clear" w:pos="1320"/>
          <w:tab w:val="left" w:pos="1080"/>
          <w:tab w:val="left" w:pos="1440"/>
        </w:tabs>
        <w:ind w:left="1080"/>
        <w:rPr>
          <w:rFonts w:asciiTheme="minorHAnsi" w:eastAsiaTheme="minorEastAsia" w:hAnsiTheme="minorHAnsi" w:cstheme="minorBidi"/>
          <w:noProof/>
          <w:szCs w:val="22"/>
        </w:rPr>
      </w:pPr>
      <w:r>
        <w:rPr>
          <w:noProof/>
        </w:rPr>
        <w:t>b.</w:t>
      </w:r>
      <w:r w:rsidR="00976138">
        <w:rPr>
          <w:noProof/>
        </w:rPr>
        <w:tab/>
      </w:r>
      <w:r>
        <w:rPr>
          <w:noProof/>
        </w:rPr>
        <w:t>Non-statutory Accountings</w:t>
      </w:r>
      <w:r w:rsidRPr="0092439F">
        <w:rPr>
          <w:i w:val="0"/>
          <w:noProof/>
        </w:rPr>
        <w:tab/>
      </w:r>
    </w:p>
    <w:p w14:paraId="3215987E" w14:textId="054D4E28"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2.</w:t>
      </w:r>
      <w:r w:rsidR="00124019">
        <w:rPr>
          <w:noProof/>
        </w:rPr>
        <w:tab/>
      </w:r>
      <w:r>
        <w:rPr>
          <w:noProof/>
        </w:rPr>
        <w:t xml:space="preserve">Information </w:t>
      </w:r>
      <w:r w:rsidR="00C736AB">
        <w:rPr>
          <w:noProof/>
        </w:rPr>
        <w:t>i</w:t>
      </w:r>
      <w:r>
        <w:rPr>
          <w:noProof/>
        </w:rPr>
        <w:t>n Accounting</w:t>
      </w:r>
      <w:r w:rsidRPr="00856F83">
        <w:rPr>
          <w:i w:val="0"/>
          <w:noProof/>
        </w:rPr>
        <w:tab/>
      </w:r>
    </w:p>
    <w:p w14:paraId="0187DA71" w14:textId="46C485C1" w:rsidR="00856F83" w:rsidRDefault="00856F83" w:rsidP="00561F7C">
      <w:pPr>
        <w:pStyle w:val="TOC4"/>
        <w:tabs>
          <w:tab w:val="clear" w:pos="1320"/>
          <w:tab w:val="left" w:pos="1080"/>
          <w:tab w:val="left" w:pos="1440"/>
        </w:tabs>
        <w:ind w:left="1080"/>
        <w:rPr>
          <w:rFonts w:asciiTheme="minorHAnsi" w:eastAsiaTheme="minorEastAsia" w:hAnsiTheme="minorHAnsi" w:cstheme="minorBidi"/>
          <w:noProof/>
          <w:szCs w:val="22"/>
        </w:rPr>
      </w:pPr>
      <w:r>
        <w:rPr>
          <w:noProof/>
        </w:rPr>
        <w:t>a.</w:t>
      </w:r>
      <w:r w:rsidR="00976138">
        <w:rPr>
          <w:noProof/>
        </w:rPr>
        <w:tab/>
      </w:r>
      <w:r>
        <w:rPr>
          <w:noProof/>
        </w:rPr>
        <w:t>Statutory Accountings</w:t>
      </w:r>
      <w:r w:rsidRPr="0092439F">
        <w:rPr>
          <w:i w:val="0"/>
          <w:noProof/>
        </w:rPr>
        <w:tab/>
      </w:r>
    </w:p>
    <w:p w14:paraId="53D3CB29" w14:textId="49DC90AB" w:rsidR="00856F83" w:rsidRDefault="00856F83" w:rsidP="00561F7C">
      <w:pPr>
        <w:pStyle w:val="TOC4"/>
        <w:tabs>
          <w:tab w:val="clear" w:pos="1320"/>
          <w:tab w:val="left" w:pos="1080"/>
          <w:tab w:val="left" w:pos="1440"/>
        </w:tabs>
        <w:ind w:left="1080"/>
        <w:rPr>
          <w:rFonts w:asciiTheme="minorHAnsi" w:eastAsiaTheme="minorEastAsia" w:hAnsiTheme="minorHAnsi" w:cstheme="minorBidi"/>
          <w:noProof/>
          <w:szCs w:val="22"/>
        </w:rPr>
      </w:pPr>
      <w:r>
        <w:rPr>
          <w:noProof/>
        </w:rPr>
        <w:t>b.</w:t>
      </w:r>
      <w:r w:rsidR="00976138">
        <w:rPr>
          <w:noProof/>
        </w:rPr>
        <w:tab/>
      </w:r>
      <w:r>
        <w:rPr>
          <w:noProof/>
        </w:rPr>
        <w:t>Non-statutory Accountings</w:t>
      </w:r>
      <w:r w:rsidRPr="0092439F">
        <w:rPr>
          <w:i w:val="0"/>
          <w:noProof/>
        </w:rPr>
        <w:tab/>
      </w:r>
    </w:p>
    <w:p w14:paraId="7F25C0E1" w14:textId="711F4BB1" w:rsidR="00856F83" w:rsidRDefault="00856F83" w:rsidP="00561F7C">
      <w:pPr>
        <w:pStyle w:val="TOC1"/>
        <w:tabs>
          <w:tab w:val="clear" w:pos="446"/>
          <w:tab w:val="left" w:pos="360"/>
        </w:tabs>
        <w:rPr>
          <w:rFonts w:asciiTheme="minorHAnsi" w:eastAsiaTheme="minorEastAsia" w:hAnsiTheme="minorHAnsi" w:cstheme="minorBidi"/>
          <w:smallCaps w:val="0"/>
          <w:noProof/>
          <w:szCs w:val="22"/>
        </w:rPr>
      </w:pPr>
      <w:r>
        <w:rPr>
          <w:noProof/>
        </w:rPr>
        <w:t>III.</w:t>
      </w:r>
      <w:r w:rsidR="00124019">
        <w:rPr>
          <w:noProof/>
        </w:rPr>
        <w:tab/>
      </w:r>
      <w:r>
        <w:rPr>
          <w:noProof/>
        </w:rPr>
        <w:t>Administering the Trust</w:t>
      </w:r>
      <w:r w:rsidRPr="00856F83">
        <w:rPr>
          <w:smallCaps w:val="0"/>
          <w:noProof/>
        </w:rPr>
        <w:tab/>
      </w:r>
    </w:p>
    <w:p w14:paraId="66656D00" w14:textId="1C85119E" w:rsidR="00856F83" w:rsidRDefault="00856F83" w:rsidP="00561F7C">
      <w:pPr>
        <w:pStyle w:val="TOC2"/>
        <w:tabs>
          <w:tab w:val="clear" w:pos="960"/>
          <w:tab w:val="left" w:pos="720"/>
        </w:tabs>
        <w:ind w:left="360"/>
        <w:rPr>
          <w:rFonts w:asciiTheme="minorHAnsi" w:eastAsiaTheme="minorEastAsia" w:hAnsiTheme="minorHAnsi" w:cstheme="minorBidi"/>
          <w:i w:val="0"/>
          <w:noProof/>
          <w:szCs w:val="22"/>
        </w:rPr>
      </w:pPr>
      <w:r>
        <w:rPr>
          <w:noProof/>
        </w:rPr>
        <w:t>A.</w:t>
      </w:r>
      <w:r w:rsidR="00124019">
        <w:rPr>
          <w:noProof/>
        </w:rPr>
        <w:tab/>
      </w:r>
      <w:r>
        <w:rPr>
          <w:noProof/>
        </w:rPr>
        <w:t>Communicate, Communicate, Communicate</w:t>
      </w:r>
      <w:r w:rsidRPr="00856F83">
        <w:rPr>
          <w:i w:val="0"/>
          <w:noProof/>
        </w:rPr>
        <w:tab/>
      </w:r>
    </w:p>
    <w:p w14:paraId="5C137D2E" w14:textId="6F246736"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1.</w:t>
      </w:r>
      <w:r w:rsidR="00124019">
        <w:rPr>
          <w:noProof/>
        </w:rPr>
        <w:tab/>
      </w:r>
      <w:r>
        <w:rPr>
          <w:noProof/>
        </w:rPr>
        <w:t>Duty of Disclosure</w:t>
      </w:r>
      <w:r w:rsidRPr="00856F83">
        <w:rPr>
          <w:i w:val="0"/>
          <w:noProof/>
        </w:rPr>
        <w:tab/>
      </w:r>
    </w:p>
    <w:p w14:paraId="72B621ED" w14:textId="563D4877"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2.</w:t>
      </w:r>
      <w:r w:rsidR="00124019">
        <w:rPr>
          <w:noProof/>
        </w:rPr>
        <w:tab/>
      </w:r>
      <w:r>
        <w:rPr>
          <w:noProof/>
        </w:rPr>
        <w:t>Common Sense Communications</w:t>
      </w:r>
      <w:r w:rsidRPr="00856F83">
        <w:rPr>
          <w:i w:val="0"/>
          <w:noProof/>
        </w:rPr>
        <w:tab/>
      </w:r>
    </w:p>
    <w:p w14:paraId="50408798" w14:textId="59B823FC" w:rsidR="00856F83" w:rsidRDefault="00856F83" w:rsidP="00561F7C">
      <w:pPr>
        <w:pStyle w:val="TOC2"/>
        <w:tabs>
          <w:tab w:val="clear" w:pos="960"/>
          <w:tab w:val="left" w:pos="720"/>
        </w:tabs>
        <w:ind w:left="360"/>
        <w:rPr>
          <w:rFonts w:asciiTheme="minorHAnsi" w:eastAsiaTheme="minorEastAsia" w:hAnsiTheme="minorHAnsi" w:cstheme="minorBidi"/>
          <w:i w:val="0"/>
          <w:noProof/>
          <w:szCs w:val="22"/>
        </w:rPr>
      </w:pPr>
      <w:r>
        <w:rPr>
          <w:noProof/>
        </w:rPr>
        <w:t>B.</w:t>
      </w:r>
      <w:r w:rsidR="00124019">
        <w:rPr>
          <w:noProof/>
        </w:rPr>
        <w:tab/>
      </w:r>
      <w:r>
        <w:rPr>
          <w:noProof/>
        </w:rPr>
        <w:t>To Whom to Make the Distributions</w:t>
      </w:r>
      <w:r w:rsidRPr="00856F83">
        <w:rPr>
          <w:i w:val="0"/>
          <w:noProof/>
        </w:rPr>
        <w:tab/>
      </w:r>
    </w:p>
    <w:p w14:paraId="569EADDB" w14:textId="772DE623"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1.</w:t>
      </w:r>
      <w:r w:rsidR="00124019">
        <w:rPr>
          <w:noProof/>
        </w:rPr>
        <w:tab/>
      </w:r>
      <w:r>
        <w:rPr>
          <w:noProof/>
        </w:rPr>
        <w:t>Facility of Payment Clause</w:t>
      </w:r>
      <w:r w:rsidRPr="00856F83">
        <w:rPr>
          <w:i w:val="0"/>
          <w:noProof/>
        </w:rPr>
        <w:tab/>
      </w:r>
    </w:p>
    <w:p w14:paraId="6154C64C" w14:textId="57C2CC15" w:rsidR="00856F83" w:rsidRPr="00856F83" w:rsidRDefault="00856F83" w:rsidP="00561F7C">
      <w:pPr>
        <w:pStyle w:val="TOC3"/>
        <w:tabs>
          <w:tab w:val="clear" w:pos="1320"/>
          <w:tab w:val="left" w:pos="1080"/>
        </w:tabs>
        <w:ind w:left="720"/>
        <w:rPr>
          <w:rFonts w:eastAsiaTheme="minorEastAsia"/>
        </w:rPr>
      </w:pPr>
      <w:r>
        <w:rPr>
          <w:noProof/>
        </w:rPr>
        <w:t>2.</w:t>
      </w:r>
      <w:r w:rsidR="00124019">
        <w:rPr>
          <w:noProof/>
        </w:rPr>
        <w:tab/>
      </w:r>
      <w:r>
        <w:rPr>
          <w:noProof/>
        </w:rPr>
        <w:t>Distributions to Pay Off Debt</w:t>
      </w:r>
      <w:r w:rsidRPr="00856F83">
        <w:rPr>
          <w:i w:val="0"/>
          <w:noProof/>
        </w:rPr>
        <w:tab/>
      </w:r>
    </w:p>
    <w:p w14:paraId="7C728A9E" w14:textId="77777777" w:rsidR="00124019" w:rsidRDefault="00856F83" w:rsidP="00561F7C">
      <w:pPr>
        <w:pStyle w:val="TOC3"/>
        <w:tabs>
          <w:tab w:val="clear" w:pos="1320"/>
          <w:tab w:val="left" w:pos="1080"/>
        </w:tabs>
        <w:ind w:left="720"/>
        <w:rPr>
          <w:noProof/>
        </w:rPr>
      </w:pPr>
      <w:r>
        <w:rPr>
          <w:noProof/>
        </w:rPr>
        <w:t>3.</w:t>
      </w:r>
      <w:r w:rsidR="00124019">
        <w:rPr>
          <w:noProof/>
        </w:rPr>
        <w:tab/>
      </w:r>
      <w:r>
        <w:rPr>
          <w:noProof/>
        </w:rPr>
        <w:t>Considerations Regarding Distributions to Undesirable</w:t>
      </w:r>
    </w:p>
    <w:p w14:paraId="7E3BA506" w14:textId="4F6907F5" w:rsidR="00856F83" w:rsidRDefault="00124019" w:rsidP="00561F7C">
      <w:pPr>
        <w:pStyle w:val="TOC3"/>
        <w:tabs>
          <w:tab w:val="clear" w:pos="1320"/>
          <w:tab w:val="left" w:pos="1080"/>
        </w:tabs>
        <w:rPr>
          <w:rFonts w:asciiTheme="minorHAnsi" w:eastAsiaTheme="minorEastAsia" w:hAnsiTheme="minorHAnsi" w:cstheme="minorBidi"/>
          <w:i w:val="0"/>
          <w:noProof/>
          <w:szCs w:val="22"/>
        </w:rPr>
      </w:pPr>
      <w:r>
        <w:rPr>
          <w:noProof/>
        </w:rPr>
        <w:tab/>
      </w:r>
      <w:r w:rsidR="00856F83">
        <w:rPr>
          <w:noProof/>
        </w:rPr>
        <w:t>Persons</w:t>
      </w:r>
      <w:r w:rsidR="00856F83" w:rsidRPr="00856F83">
        <w:rPr>
          <w:i w:val="0"/>
          <w:noProof/>
        </w:rPr>
        <w:tab/>
      </w:r>
    </w:p>
    <w:p w14:paraId="5136D4C2" w14:textId="2288D6C1" w:rsidR="00856F83" w:rsidRDefault="00856F83" w:rsidP="00561F7C">
      <w:pPr>
        <w:pStyle w:val="TOC2"/>
        <w:tabs>
          <w:tab w:val="clear" w:pos="960"/>
          <w:tab w:val="left" w:pos="720"/>
        </w:tabs>
        <w:ind w:left="360"/>
        <w:rPr>
          <w:rFonts w:asciiTheme="minorHAnsi" w:eastAsiaTheme="minorEastAsia" w:hAnsiTheme="minorHAnsi" w:cstheme="minorBidi"/>
          <w:i w:val="0"/>
          <w:noProof/>
          <w:szCs w:val="22"/>
        </w:rPr>
      </w:pPr>
      <w:r>
        <w:rPr>
          <w:noProof/>
        </w:rPr>
        <w:t>C.</w:t>
      </w:r>
      <w:r w:rsidR="00124019">
        <w:rPr>
          <w:noProof/>
        </w:rPr>
        <w:tab/>
      </w:r>
      <w:r>
        <w:rPr>
          <w:noProof/>
        </w:rPr>
        <w:t>Keeping Records</w:t>
      </w:r>
      <w:r w:rsidRPr="00856F83">
        <w:rPr>
          <w:i w:val="0"/>
          <w:noProof/>
        </w:rPr>
        <w:tab/>
      </w:r>
    </w:p>
    <w:p w14:paraId="3F8D00CD" w14:textId="5BF8C436"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1.</w:t>
      </w:r>
      <w:r w:rsidR="00124019">
        <w:rPr>
          <w:noProof/>
        </w:rPr>
        <w:tab/>
      </w:r>
      <w:r>
        <w:rPr>
          <w:noProof/>
        </w:rPr>
        <w:t>Financial Information</w:t>
      </w:r>
      <w:r w:rsidRPr="00856F83">
        <w:rPr>
          <w:i w:val="0"/>
          <w:noProof/>
        </w:rPr>
        <w:tab/>
      </w:r>
    </w:p>
    <w:p w14:paraId="1F6488A6" w14:textId="3EC3413C"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2.</w:t>
      </w:r>
      <w:r w:rsidR="00124019">
        <w:rPr>
          <w:noProof/>
        </w:rPr>
        <w:tab/>
      </w:r>
      <w:r>
        <w:rPr>
          <w:noProof/>
        </w:rPr>
        <w:t>Substance Abuse</w:t>
      </w:r>
      <w:r w:rsidRPr="00856F83">
        <w:rPr>
          <w:i w:val="0"/>
          <w:noProof/>
        </w:rPr>
        <w:tab/>
      </w:r>
    </w:p>
    <w:p w14:paraId="2F3D72A1" w14:textId="77777777" w:rsidR="0009519C" w:rsidRDefault="00856F83" w:rsidP="00561F7C">
      <w:pPr>
        <w:pStyle w:val="TOC4"/>
        <w:tabs>
          <w:tab w:val="clear" w:pos="1320"/>
          <w:tab w:val="left" w:pos="1080"/>
          <w:tab w:val="left" w:pos="1440"/>
        </w:tabs>
        <w:ind w:left="1080"/>
        <w:rPr>
          <w:noProof/>
        </w:rPr>
      </w:pPr>
      <w:r>
        <w:rPr>
          <w:noProof/>
        </w:rPr>
        <w:t>a.</w:t>
      </w:r>
      <w:r w:rsidR="0009519C">
        <w:rPr>
          <w:noProof/>
        </w:rPr>
        <w:tab/>
      </w:r>
      <w:r>
        <w:rPr>
          <w:noProof/>
        </w:rPr>
        <w:t>Different Terms Depending on “Substance” Being</w:t>
      </w:r>
    </w:p>
    <w:p w14:paraId="6EDB096A" w14:textId="71065F3B" w:rsidR="00856F83" w:rsidRDefault="0009519C" w:rsidP="00561F7C">
      <w:pPr>
        <w:pStyle w:val="TOC4"/>
        <w:tabs>
          <w:tab w:val="clear" w:pos="1320"/>
          <w:tab w:val="left" w:pos="1080"/>
          <w:tab w:val="left" w:pos="1440"/>
        </w:tabs>
        <w:ind w:left="1080"/>
        <w:rPr>
          <w:rFonts w:asciiTheme="minorHAnsi" w:eastAsiaTheme="minorEastAsia" w:hAnsiTheme="minorHAnsi" w:cstheme="minorBidi"/>
          <w:noProof/>
          <w:szCs w:val="22"/>
        </w:rPr>
      </w:pPr>
      <w:r>
        <w:rPr>
          <w:noProof/>
        </w:rPr>
        <w:tab/>
      </w:r>
      <w:r w:rsidR="00856F83">
        <w:rPr>
          <w:noProof/>
        </w:rPr>
        <w:t>Abused</w:t>
      </w:r>
      <w:r w:rsidR="00856F83" w:rsidRPr="00871E30">
        <w:rPr>
          <w:i w:val="0"/>
          <w:noProof/>
        </w:rPr>
        <w:tab/>
      </w:r>
    </w:p>
    <w:p w14:paraId="640521CA" w14:textId="7ED36BC1" w:rsidR="00856F83" w:rsidRDefault="00856F83" w:rsidP="00561F7C">
      <w:pPr>
        <w:pStyle w:val="TOC4"/>
        <w:tabs>
          <w:tab w:val="clear" w:pos="1320"/>
          <w:tab w:val="left" w:pos="1080"/>
          <w:tab w:val="left" w:pos="1440"/>
        </w:tabs>
        <w:ind w:left="1080"/>
        <w:rPr>
          <w:rFonts w:asciiTheme="minorHAnsi" w:eastAsiaTheme="minorEastAsia" w:hAnsiTheme="minorHAnsi" w:cstheme="minorBidi"/>
          <w:noProof/>
          <w:szCs w:val="22"/>
        </w:rPr>
      </w:pPr>
      <w:r>
        <w:rPr>
          <w:noProof/>
        </w:rPr>
        <w:t>b.</w:t>
      </w:r>
      <w:r w:rsidR="0009519C">
        <w:rPr>
          <w:noProof/>
        </w:rPr>
        <w:tab/>
      </w:r>
      <w:r>
        <w:rPr>
          <w:noProof/>
        </w:rPr>
        <w:t>Optional Trust Terms</w:t>
      </w:r>
      <w:r w:rsidRPr="00871E30">
        <w:rPr>
          <w:i w:val="0"/>
          <w:noProof/>
        </w:rPr>
        <w:tab/>
      </w:r>
    </w:p>
    <w:p w14:paraId="33EE2D02" w14:textId="64FEE7BF" w:rsidR="00856F83" w:rsidRDefault="00856F83" w:rsidP="00561F7C">
      <w:pPr>
        <w:pStyle w:val="TOC2"/>
        <w:tabs>
          <w:tab w:val="clear" w:pos="960"/>
          <w:tab w:val="left" w:pos="720"/>
        </w:tabs>
        <w:ind w:left="360"/>
        <w:rPr>
          <w:rFonts w:asciiTheme="minorHAnsi" w:eastAsiaTheme="minorEastAsia" w:hAnsiTheme="minorHAnsi" w:cstheme="minorBidi"/>
          <w:i w:val="0"/>
          <w:noProof/>
          <w:szCs w:val="22"/>
        </w:rPr>
      </w:pPr>
      <w:r>
        <w:rPr>
          <w:noProof/>
        </w:rPr>
        <w:t>D.</w:t>
      </w:r>
      <w:r w:rsidR="00124019">
        <w:rPr>
          <w:noProof/>
        </w:rPr>
        <w:tab/>
      </w:r>
      <w:r>
        <w:rPr>
          <w:noProof/>
        </w:rPr>
        <w:t>Trust Protectors/Advisors</w:t>
      </w:r>
      <w:r w:rsidRPr="00871E30">
        <w:rPr>
          <w:i w:val="0"/>
          <w:noProof/>
        </w:rPr>
        <w:tab/>
      </w:r>
    </w:p>
    <w:p w14:paraId="53416B69" w14:textId="1B501230" w:rsidR="00856F83" w:rsidRDefault="00856F83" w:rsidP="00561F7C">
      <w:pPr>
        <w:pStyle w:val="TOC1"/>
        <w:tabs>
          <w:tab w:val="clear" w:pos="446"/>
          <w:tab w:val="left" w:pos="360"/>
        </w:tabs>
        <w:rPr>
          <w:rFonts w:asciiTheme="minorHAnsi" w:eastAsiaTheme="minorEastAsia" w:hAnsiTheme="minorHAnsi" w:cstheme="minorBidi"/>
          <w:smallCaps w:val="0"/>
          <w:noProof/>
          <w:szCs w:val="22"/>
        </w:rPr>
      </w:pPr>
      <w:r>
        <w:rPr>
          <w:noProof/>
        </w:rPr>
        <w:t>IV.</w:t>
      </w:r>
      <w:r w:rsidR="00124019">
        <w:rPr>
          <w:noProof/>
        </w:rPr>
        <w:tab/>
      </w:r>
      <w:r>
        <w:rPr>
          <w:noProof/>
        </w:rPr>
        <w:t>Wrapping Up, Trustee Resignation and Removal</w:t>
      </w:r>
      <w:r w:rsidRPr="00871E30">
        <w:rPr>
          <w:smallCaps w:val="0"/>
          <w:noProof/>
        </w:rPr>
        <w:tab/>
      </w:r>
    </w:p>
    <w:p w14:paraId="0FC27224" w14:textId="12C28DC0" w:rsidR="00856F83" w:rsidRDefault="00856F83" w:rsidP="00561F7C">
      <w:pPr>
        <w:pStyle w:val="TOC2"/>
        <w:tabs>
          <w:tab w:val="clear" w:pos="960"/>
          <w:tab w:val="left" w:pos="720"/>
        </w:tabs>
        <w:ind w:left="360"/>
        <w:rPr>
          <w:rFonts w:asciiTheme="minorHAnsi" w:eastAsiaTheme="minorEastAsia" w:hAnsiTheme="minorHAnsi" w:cstheme="minorBidi"/>
          <w:i w:val="0"/>
          <w:noProof/>
          <w:szCs w:val="22"/>
        </w:rPr>
      </w:pPr>
      <w:r>
        <w:rPr>
          <w:noProof/>
        </w:rPr>
        <w:t>A.</w:t>
      </w:r>
      <w:r w:rsidR="00124019">
        <w:rPr>
          <w:noProof/>
        </w:rPr>
        <w:tab/>
      </w:r>
      <w:r>
        <w:rPr>
          <w:noProof/>
        </w:rPr>
        <w:t>Trustee Resignation</w:t>
      </w:r>
      <w:r w:rsidRPr="00871E30">
        <w:rPr>
          <w:i w:val="0"/>
          <w:noProof/>
        </w:rPr>
        <w:tab/>
      </w:r>
    </w:p>
    <w:p w14:paraId="31A17E22" w14:textId="45DA55AC" w:rsidR="00856F83" w:rsidRDefault="00856F83" w:rsidP="00561F7C">
      <w:pPr>
        <w:pStyle w:val="TOC2"/>
        <w:tabs>
          <w:tab w:val="clear" w:pos="960"/>
          <w:tab w:val="left" w:pos="720"/>
        </w:tabs>
        <w:ind w:left="360"/>
        <w:rPr>
          <w:rFonts w:asciiTheme="minorHAnsi" w:eastAsiaTheme="minorEastAsia" w:hAnsiTheme="minorHAnsi" w:cstheme="minorBidi"/>
          <w:i w:val="0"/>
          <w:noProof/>
          <w:szCs w:val="22"/>
        </w:rPr>
      </w:pPr>
      <w:r>
        <w:rPr>
          <w:noProof/>
        </w:rPr>
        <w:lastRenderedPageBreak/>
        <w:t>B.</w:t>
      </w:r>
      <w:r w:rsidR="00124019">
        <w:rPr>
          <w:noProof/>
        </w:rPr>
        <w:tab/>
      </w:r>
      <w:r>
        <w:rPr>
          <w:noProof/>
        </w:rPr>
        <w:t>Trustee Removal</w:t>
      </w:r>
      <w:r w:rsidRPr="00871E30">
        <w:rPr>
          <w:i w:val="0"/>
          <w:noProof/>
        </w:rPr>
        <w:tab/>
      </w:r>
    </w:p>
    <w:p w14:paraId="1B70BAE4" w14:textId="3077131F" w:rsidR="00856F83" w:rsidRDefault="00856F83" w:rsidP="00561F7C">
      <w:pPr>
        <w:pStyle w:val="TOC2"/>
        <w:tabs>
          <w:tab w:val="clear" w:pos="960"/>
          <w:tab w:val="left" w:pos="720"/>
        </w:tabs>
        <w:ind w:left="360"/>
        <w:rPr>
          <w:rFonts w:asciiTheme="minorHAnsi" w:eastAsiaTheme="minorEastAsia" w:hAnsiTheme="minorHAnsi" w:cstheme="minorBidi"/>
          <w:i w:val="0"/>
          <w:noProof/>
          <w:szCs w:val="22"/>
        </w:rPr>
      </w:pPr>
      <w:r>
        <w:rPr>
          <w:noProof/>
        </w:rPr>
        <w:t>C.</w:t>
      </w:r>
      <w:r w:rsidR="00124019">
        <w:rPr>
          <w:noProof/>
        </w:rPr>
        <w:tab/>
      </w:r>
      <w:r>
        <w:rPr>
          <w:noProof/>
        </w:rPr>
        <w:t>Balance Between Trustee and Beneficiary</w:t>
      </w:r>
      <w:r w:rsidRPr="00871E30">
        <w:rPr>
          <w:i w:val="0"/>
          <w:noProof/>
        </w:rPr>
        <w:tab/>
      </w:r>
    </w:p>
    <w:p w14:paraId="4EBE7CD1" w14:textId="4B40F43D" w:rsidR="00856F83" w:rsidRDefault="00856F83" w:rsidP="00561F7C">
      <w:pPr>
        <w:pStyle w:val="TOC2"/>
        <w:tabs>
          <w:tab w:val="clear" w:pos="960"/>
          <w:tab w:val="left" w:pos="720"/>
        </w:tabs>
        <w:ind w:left="360"/>
        <w:rPr>
          <w:rFonts w:asciiTheme="minorHAnsi" w:eastAsiaTheme="minorEastAsia" w:hAnsiTheme="minorHAnsi" w:cstheme="minorBidi"/>
          <w:i w:val="0"/>
          <w:noProof/>
          <w:szCs w:val="22"/>
        </w:rPr>
      </w:pPr>
      <w:r>
        <w:rPr>
          <w:noProof/>
        </w:rPr>
        <w:t>D.</w:t>
      </w:r>
      <w:r w:rsidR="00124019">
        <w:rPr>
          <w:noProof/>
        </w:rPr>
        <w:tab/>
      </w:r>
      <w:r>
        <w:rPr>
          <w:noProof/>
        </w:rPr>
        <w:t>Transition Between Trustees</w:t>
      </w:r>
      <w:r w:rsidRPr="00871E30">
        <w:rPr>
          <w:i w:val="0"/>
          <w:noProof/>
        </w:rPr>
        <w:tab/>
      </w:r>
    </w:p>
    <w:p w14:paraId="7CC73C68" w14:textId="31E67280"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1.</w:t>
      </w:r>
      <w:r w:rsidR="00124019">
        <w:rPr>
          <w:noProof/>
        </w:rPr>
        <w:tab/>
      </w:r>
      <w:r>
        <w:rPr>
          <w:noProof/>
        </w:rPr>
        <w:t>Notice</w:t>
      </w:r>
      <w:r w:rsidRPr="00871E30">
        <w:rPr>
          <w:i w:val="0"/>
          <w:noProof/>
        </w:rPr>
        <w:tab/>
      </w:r>
    </w:p>
    <w:p w14:paraId="026563DC" w14:textId="10DA9695"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2.</w:t>
      </w:r>
      <w:r w:rsidR="00124019">
        <w:rPr>
          <w:noProof/>
        </w:rPr>
        <w:tab/>
      </w:r>
      <w:r>
        <w:rPr>
          <w:noProof/>
        </w:rPr>
        <w:t>Acceptance by Successor Trustee</w:t>
      </w:r>
      <w:r w:rsidRPr="00871E30">
        <w:rPr>
          <w:i w:val="0"/>
          <w:noProof/>
        </w:rPr>
        <w:tab/>
      </w:r>
    </w:p>
    <w:p w14:paraId="06B4AEFD" w14:textId="03FE4096" w:rsidR="00856F83" w:rsidRDefault="00856F83" w:rsidP="00561F7C">
      <w:pPr>
        <w:pStyle w:val="TOC3"/>
        <w:tabs>
          <w:tab w:val="clear" w:pos="1320"/>
          <w:tab w:val="left" w:pos="1080"/>
        </w:tabs>
        <w:ind w:left="720"/>
        <w:rPr>
          <w:rFonts w:asciiTheme="minorHAnsi" w:eastAsiaTheme="minorEastAsia" w:hAnsiTheme="minorHAnsi" w:cstheme="minorBidi"/>
          <w:i w:val="0"/>
          <w:noProof/>
          <w:szCs w:val="22"/>
        </w:rPr>
      </w:pPr>
      <w:r>
        <w:rPr>
          <w:noProof/>
        </w:rPr>
        <w:t>3.</w:t>
      </w:r>
      <w:r w:rsidR="00124019">
        <w:rPr>
          <w:noProof/>
        </w:rPr>
        <w:tab/>
      </w:r>
      <w:r>
        <w:rPr>
          <w:noProof/>
        </w:rPr>
        <w:t>Transfer of Trust Estate</w:t>
      </w:r>
      <w:r w:rsidRPr="00871E30">
        <w:rPr>
          <w:i w:val="0"/>
          <w:noProof/>
        </w:rPr>
        <w:tab/>
      </w:r>
    </w:p>
    <w:p w14:paraId="5CA9DF00" w14:textId="47090374" w:rsidR="00856F83" w:rsidRDefault="00856F83" w:rsidP="00561F7C">
      <w:pPr>
        <w:pStyle w:val="TOC2"/>
        <w:tabs>
          <w:tab w:val="clear" w:pos="960"/>
          <w:tab w:val="left" w:pos="720"/>
        </w:tabs>
        <w:ind w:left="360"/>
        <w:rPr>
          <w:rFonts w:asciiTheme="minorHAnsi" w:eastAsiaTheme="minorEastAsia" w:hAnsiTheme="minorHAnsi" w:cstheme="minorBidi"/>
          <w:i w:val="0"/>
          <w:noProof/>
          <w:szCs w:val="22"/>
        </w:rPr>
      </w:pPr>
      <w:r>
        <w:rPr>
          <w:noProof/>
        </w:rPr>
        <w:t>E.</w:t>
      </w:r>
      <w:r w:rsidR="00124019">
        <w:rPr>
          <w:noProof/>
        </w:rPr>
        <w:tab/>
      </w:r>
      <w:r>
        <w:rPr>
          <w:noProof/>
        </w:rPr>
        <w:t>Trustee Exculpation and Indemnity</w:t>
      </w:r>
      <w:r w:rsidRPr="00871E30">
        <w:rPr>
          <w:i w:val="0"/>
          <w:noProof/>
        </w:rPr>
        <w:tab/>
      </w:r>
    </w:p>
    <w:p w14:paraId="7BDCF195" w14:textId="45AB6E29" w:rsidR="00856F83" w:rsidRDefault="00856F83" w:rsidP="00561F7C">
      <w:pPr>
        <w:pStyle w:val="TOC1"/>
        <w:tabs>
          <w:tab w:val="clear" w:pos="446"/>
          <w:tab w:val="left" w:pos="360"/>
        </w:tabs>
        <w:rPr>
          <w:rFonts w:asciiTheme="minorHAnsi" w:eastAsiaTheme="minorEastAsia" w:hAnsiTheme="minorHAnsi" w:cstheme="minorBidi"/>
          <w:smallCaps w:val="0"/>
          <w:noProof/>
          <w:szCs w:val="22"/>
        </w:rPr>
      </w:pPr>
      <w:r>
        <w:rPr>
          <w:noProof/>
        </w:rPr>
        <w:t>V.</w:t>
      </w:r>
      <w:r w:rsidR="00124019">
        <w:rPr>
          <w:noProof/>
        </w:rPr>
        <w:tab/>
      </w:r>
      <w:r>
        <w:rPr>
          <w:noProof/>
        </w:rPr>
        <w:t>Conclusion</w:t>
      </w:r>
      <w:r w:rsidRPr="00871E30">
        <w:rPr>
          <w:smallCaps w:val="0"/>
          <w:noProof/>
        </w:rPr>
        <w:tab/>
      </w:r>
    </w:p>
    <w:p w14:paraId="33C99CB4" w14:textId="4388EB19" w:rsidR="003A0665" w:rsidRPr="0059378C" w:rsidRDefault="00856F83" w:rsidP="00561F7C">
      <w:pPr>
        <w:rPr>
          <w:b/>
        </w:rPr>
      </w:pPr>
      <w:r>
        <w:rPr>
          <w:b/>
        </w:rPr>
        <w:fldChar w:fldCharType="end"/>
      </w:r>
    </w:p>
    <w:p w14:paraId="47F35A4F" w14:textId="77777777" w:rsidR="00EC65C6" w:rsidRDefault="00EC65C6" w:rsidP="00561F7C">
      <w:pPr>
        <w:pStyle w:val="b-bodytext"/>
        <w:spacing w:line="480" w:lineRule="auto"/>
      </w:pPr>
      <w:r>
        <w:br w:type="page"/>
      </w:r>
    </w:p>
    <w:p w14:paraId="588D76B0" w14:textId="0E901146" w:rsidR="003A0665" w:rsidRPr="0059378C" w:rsidRDefault="003A0665" w:rsidP="00561F7C">
      <w:pPr>
        <w:pStyle w:val="b-bodytext"/>
        <w:spacing w:line="480" w:lineRule="auto"/>
      </w:pPr>
      <w:r w:rsidRPr="0059378C">
        <w:lastRenderedPageBreak/>
        <w:t>When advising clients as to who to designate as trustee, we, as attorneys, often caution that the role is</w:t>
      </w:r>
      <w:r w:rsidR="0094387C">
        <w:t xml:space="preserve"> not an honor; it is</w:t>
      </w:r>
      <w:r w:rsidRPr="0059378C">
        <w:t xml:space="preserve"> a job.</w:t>
      </w:r>
      <w:r w:rsidRPr="0059378C">
        <w:rPr>
          <w:rStyle w:val="FootnoteReference"/>
          <w:rFonts w:cs="Times New Roman"/>
        </w:rPr>
        <w:footnoteReference w:id="1"/>
      </w:r>
      <w:r w:rsidRPr="0059378C">
        <w:t xml:space="preserve">  As with any job, there are certain rules and responsibilities that must be performed, and there is also a lot that goes on behind the scenes that laypeople are unaware of.</w:t>
      </w:r>
      <w:r w:rsidRPr="0059378C">
        <w:rPr>
          <w:rStyle w:val="FootnoteReference"/>
          <w:rFonts w:cs="Times New Roman"/>
        </w:rPr>
        <w:footnoteReference w:id="2"/>
      </w:r>
      <w:r w:rsidRPr="0059378C">
        <w:t xml:space="preserve">  Records that must be kept, questions that must be asked, and other tasks that are often overlooked, but vital to the proper performance of the role of trustee.</w:t>
      </w:r>
      <w:r w:rsidRPr="0059378C">
        <w:rPr>
          <w:rStyle w:val="FootnoteReference"/>
          <w:rFonts w:cs="Times New Roman"/>
        </w:rPr>
        <w:footnoteReference w:id="3"/>
      </w:r>
    </w:p>
    <w:p w14:paraId="460F1AD9" w14:textId="0E7A2EF4" w:rsidR="003A0665" w:rsidRPr="0059378C" w:rsidRDefault="00BF0490" w:rsidP="00561F7C">
      <w:pPr>
        <w:pStyle w:val="b-bodytext"/>
        <w:spacing w:line="480" w:lineRule="auto"/>
      </w:pPr>
      <w:r w:rsidRPr="0014127B">
        <w:t>As opposed to other jobs though, where specific employment terms are typically set by an employer familiar with the business, for trustees, the terms of employment are largely</w:t>
      </w:r>
      <w:r w:rsidR="003A0665" w:rsidRPr="00BF0490">
        <w:t xml:space="preserve"> determined by third-part</w:t>
      </w:r>
      <w:r w:rsidRPr="0014127B">
        <w:t>ies</w:t>
      </w:r>
      <w:r w:rsidR="003A0665" w:rsidRPr="00BF0490">
        <w:t xml:space="preserve"> (</w:t>
      </w:r>
      <w:r w:rsidR="003A0665" w:rsidRPr="00BF0490">
        <w:rPr>
          <w:i/>
        </w:rPr>
        <w:t>i.e.</w:t>
      </w:r>
      <w:r w:rsidR="003A0665" w:rsidRPr="00BF0490">
        <w:t xml:space="preserve"> </w:t>
      </w:r>
      <w:r w:rsidR="0094387C" w:rsidRPr="00BF0490">
        <w:t xml:space="preserve">an </w:t>
      </w:r>
      <w:r w:rsidR="003A0665" w:rsidRPr="00BF0490">
        <w:t>attorney</w:t>
      </w:r>
      <w:r w:rsidRPr="0014127B">
        <w:t xml:space="preserve"> and settlor</w:t>
      </w:r>
      <w:r w:rsidR="003A0665" w:rsidRPr="00BF0490">
        <w:t xml:space="preserve">) who most often has no </w:t>
      </w:r>
      <w:r w:rsidR="0094387C" w:rsidRPr="00BF0490">
        <w:t xml:space="preserve">personal </w:t>
      </w:r>
      <w:r w:rsidR="003A0665" w:rsidRPr="00BF0490">
        <w:t xml:space="preserve">experience performing the work </w:t>
      </w:r>
      <w:r w:rsidRPr="0014127B">
        <w:lastRenderedPageBreak/>
        <w:t>being assigned to the trustee</w:t>
      </w:r>
      <w:r w:rsidR="003A0665" w:rsidRPr="00BF0490">
        <w:t>.</w:t>
      </w:r>
      <w:r w:rsidR="003A0665" w:rsidRPr="00BF0490">
        <w:rPr>
          <w:rStyle w:val="FootnoteReference"/>
          <w:rFonts w:cs="Times New Roman"/>
        </w:rPr>
        <w:footnoteReference w:id="4"/>
      </w:r>
      <w:r w:rsidR="003A0665" w:rsidRPr="0059378C">
        <w:t xml:space="preserve">  One would not expect someone with</w:t>
      </w:r>
      <w:r>
        <w:t>out</w:t>
      </w:r>
      <w:r w:rsidR="003A0665" w:rsidRPr="0059378C">
        <w:t xml:space="preserve"> experience in the food service industry to set the rules for a restaurant</w:t>
      </w:r>
      <w:r w:rsidR="001A6DCB">
        <w:t>’</w:t>
      </w:r>
      <w:r w:rsidR="003A0665" w:rsidRPr="0059378C">
        <w:t>s kitchen and waitstaff.</w:t>
      </w:r>
      <w:r w:rsidR="003A0665" w:rsidRPr="0059378C">
        <w:rPr>
          <w:rStyle w:val="FootnoteReference"/>
          <w:rFonts w:cs="Times New Roman"/>
        </w:rPr>
        <w:footnoteReference w:id="5"/>
      </w:r>
      <w:r w:rsidR="003A0665" w:rsidRPr="0059378C">
        <w:t xml:space="preserve"> </w:t>
      </w:r>
      <w:r w:rsidR="004F7725">
        <w:t> </w:t>
      </w:r>
      <w:r w:rsidR="003A0665" w:rsidRPr="0059378C">
        <w:t>When should breaks be scheduled?</w:t>
      </w:r>
      <w:r w:rsidR="003A0665" w:rsidRPr="0059378C">
        <w:rPr>
          <w:rStyle w:val="FootnoteReference"/>
          <w:rFonts w:cs="Times New Roman"/>
        </w:rPr>
        <w:footnoteReference w:id="6"/>
      </w:r>
      <w:r w:rsidR="003A0665" w:rsidRPr="0059378C">
        <w:t xml:space="preserve"> </w:t>
      </w:r>
      <w:r w:rsidR="004F7725">
        <w:t> </w:t>
      </w:r>
      <w:r w:rsidR="003A0665" w:rsidRPr="0059378C">
        <w:t xml:space="preserve">What are the most common food safety concerns and how should they be addressed?  Likewise, hospital </w:t>
      </w:r>
      <w:r w:rsidR="0094387C">
        <w:t>guidelines</w:t>
      </w:r>
      <w:r w:rsidR="003A0665" w:rsidRPr="0059378C">
        <w:t xml:space="preserve"> prepared by someone without healthcare experience would surely neglect certain issues that any member of the hospital staff would know to address.</w:t>
      </w:r>
      <w:r w:rsidR="003A0665" w:rsidRPr="0059378C">
        <w:rPr>
          <w:rStyle w:val="FootnoteReference"/>
          <w:rFonts w:cs="Times New Roman"/>
        </w:rPr>
        <w:footnoteReference w:id="7"/>
      </w:r>
    </w:p>
    <w:p w14:paraId="59629DAB" w14:textId="538CEC8C" w:rsidR="004F7725" w:rsidRDefault="003A0665" w:rsidP="00561F7C">
      <w:pPr>
        <w:pStyle w:val="b-bodytext"/>
        <w:spacing w:line="480" w:lineRule="auto"/>
      </w:pPr>
      <w:r w:rsidRPr="0059378C">
        <w:t>As noted above, serving as trustee of a</w:t>
      </w:r>
      <w:r w:rsidR="0094387C">
        <w:t>ny</w:t>
      </w:r>
      <w:r w:rsidRPr="0059378C">
        <w:t xml:space="preserve"> trust</w:t>
      </w:r>
      <w:r w:rsidR="0094387C">
        <w:t>, but especially a trust for someone other than oneself,</w:t>
      </w:r>
      <w:r w:rsidRPr="0059378C">
        <w:t xml:space="preserve"> is a job.</w:t>
      </w:r>
      <w:r w:rsidRPr="0059378C">
        <w:rPr>
          <w:rStyle w:val="FootnoteReference"/>
          <w:rFonts w:cs="Times New Roman"/>
        </w:rPr>
        <w:footnoteReference w:id="8"/>
      </w:r>
      <w:r w:rsidRPr="0059378C">
        <w:t xml:space="preserve">  Advice given and trust terms drafted by attorneys without an understanding of how it will be interpreted and administered by trustees can not only fail to accomplish the settlor</w:t>
      </w:r>
      <w:r w:rsidR="001A6DCB">
        <w:t>’</w:t>
      </w:r>
      <w:r w:rsidRPr="0059378C">
        <w:t>s objectives</w:t>
      </w:r>
      <w:r w:rsidR="009A46AE">
        <w:t>,</w:t>
      </w:r>
      <w:r w:rsidRPr="0059378C">
        <w:t xml:space="preserve"> but can backfire and lead to a situation much worse than if the property </w:t>
      </w:r>
      <w:r w:rsidR="009A46AE">
        <w:t>were</w:t>
      </w:r>
      <w:r w:rsidR="009A46AE" w:rsidRPr="0059378C">
        <w:t xml:space="preserve"> </w:t>
      </w:r>
      <w:r w:rsidRPr="0059378C">
        <w:t>simply left outright.</w:t>
      </w:r>
      <w:bookmarkStart w:id="0" w:name="_Ref33802168"/>
      <w:r w:rsidRPr="0059378C">
        <w:rPr>
          <w:rStyle w:val="FootnoteReference"/>
          <w:rFonts w:cs="Times New Roman"/>
        </w:rPr>
        <w:footnoteReference w:id="9"/>
      </w:r>
      <w:bookmarkEnd w:id="0"/>
      <w:r w:rsidRPr="0059378C">
        <w:t xml:space="preserve">  Therefore, an understanding of the </w:t>
      </w:r>
      <w:r w:rsidRPr="0059378C">
        <w:lastRenderedPageBreak/>
        <w:t>obligations, prudent actions</w:t>
      </w:r>
      <w:r w:rsidR="009A46AE">
        <w:t>,</w:t>
      </w:r>
      <w:r w:rsidRPr="0059378C">
        <w:t xml:space="preserve"> and overall mechanics behind the role of trustee leads to more accurate advice, better drafting and more trusts being administered as intended.</w:t>
      </w:r>
      <w:r w:rsidRPr="0059378C">
        <w:rPr>
          <w:rStyle w:val="FootnoteReference"/>
          <w:rFonts w:cs="Times New Roman"/>
        </w:rPr>
        <w:footnoteReference w:id="10"/>
      </w:r>
      <w:bookmarkStart w:id="1" w:name="_Toc7167179"/>
    </w:p>
    <w:p w14:paraId="18ECBA17" w14:textId="77777777" w:rsidR="00D2040F" w:rsidRDefault="00D2040F" w:rsidP="00561F7C">
      <w:pPr>
        <w:pStyle w:val="b-bodytext"/>
        <w:spacing w:line="480" w:lineRule="auto"/>
      </w:pPr>
    </w:p>
    <w:p w14:paraId="45FC18A3" w14:textId="629A6D5E" w:rsidR="003A0665" w:rsidRDefault="003A0665" w:rsidP="00561F7C">
      <w:pPr>
        <w:pStyle w:val="a-1stSubHd"/>
        <w:spacing w:before="0" w:after="0" w:line="480" w:lineRule="auto"/>
      </w:pPr>
      <w:bookmarkStart w:id="2" w:name="_Toc31203574"/>
      <w:r w:rsidRPr="0059378C">
        <w:t>I.  Role of Trustee</w:t>
      </w:r>
      <w:bookmarkEnd w:id="1"/>
      <w:bookmarkEnd w:id="2"/>
    </w:p>
    <w:p w14:paraId="734A02CC" w14:textId="77777777" w:rsidR="003A0665" w:rsidRPr="0059378C" w:rsidRDefault="003A0665" w:rsidP="00561F7C">
      <w:pPr>
        <w:spacing w:line="480" w:lineRule="auto"/>
      </w:pPr>
    </w:p>
    <w:p w14:paraId="42A2B60C" w14:textId="10FE030A" w:rsidR="00690525" w:rsidRPr="0059378C" w:rsidRDefault="003A0665">
      <w:pPr>
        <w:pStyle w:val="b-bodytext"/>
        <w:spacing w:line="480" w:lineRule="auto"/>
      </w:pPr>
      <w:r w:rsidRPr="0059378C">
        <w:t>Before delving into any discussion of how a trustee should properly administer a trust, an understanding of the role of a trustee is necessary.</w:t>
      </w:r>
      <w:r w:rsidRPr="0059378C">
        <w:rPr>
          <w:rStyle w:val="FootnoteReference"/>
          <w:rFonts w:cs="Times New Roman"/>
        </w:rPr>
        <w:footnoteReference w:id="11"/>
      </w:r>
      <w:r w:rsidRPr="0059378C">
        <w:t xml:space="preserve">  At its core, a trustee is an individual or entity legally bound to administer property for the benefit of a beneficiary.</w:t>
      </w:r>
      <w:r w:rsidRPr="0059378C">
        <w:rPr>
          <w:rStyle w:val="FootnoteReference"/>
          <w:rFonts w:cs="Times New Roman"/>
        </w:rPr>
        <w:footnoteReference w:id="12"/>
      </w:r>
    </w:p>
    <w:p w14:paraId="6B53D116" w14:textId="77777777" w:rsidR="003A0665" w:rsidRDefault="003A0665" w:rsidP="00561F7C">
      <w:pPr>
        <w:pStyle w:val="a-2ndSubHd"/>
        <w:spacing w:before="0" w:after="0" w:line="480" w:lineRule="auto"/>
        <w:rPr>
          <w:b/>
        </w:rPr>
      </w:pPr>
      <w:bookmarkStart w:id="3" w:name="_Toc7167180"/>
      <w:bookmarkStart w:id="4" w:name="_Toc31203575"/>
      <w:r w:rsidRPr="0059378C">
        <w:t>A.  Characteristics of a Good Trustee</w:t>
      </w:r>
      <w:bookmarkEnd w:id="3"/>
      <w:bookmarkEnd w:id="4"/>
    </w:p>
    <w:p w14:paraId="44EDE848" w14:textId="126323F4" w:rsidR="003A0665" w:rsidRPr="0059378C" w:rsidRDefault="003A0665" w:rsidP="00561F7C">
      <w:pPr>
        <w:pStyle w:val="b-bodytext"/>
        <w:spacing w:line="480" w:lineRule="auto"/>
        <w:rPr>
          <w:rFonts w:cs="Times New Roman"/>
        </w:rPr>
      </w:pPr>
      <w:r w:rsidRPr="0059378C">
        <w:t>Selecting the right trustee depends largely on the reason behind establishing the trust.</w:t>
      </w:r>
      <w:r w:rsidRPr="0059378C">
        <w:rPr>
          <w:rStyle w:val="FootnoteReference"/>
          <w:rFonts w:cs="Times New Roman"/>
        </w:rPr>
        <w:footnoteReference w:id="13"/>
      </w:r>
      <w:r w:rsidRPr="0059378C">
        <w:t xml:space="preserve"> </w:t>
      </w:r>
      <w:r w:rsidR="00D2040F">
        <w:t> </w:t>
      </w:r>
      <w:r w:rsidRPr="0059378C">
        <w:t xml:space="preserve">For example, if tax-savings are the principal </w:t>
      </w:r>
      <w:r w:rsidRPr="0059378C">
        <w:lastRenderedPageBreak/>
        <w:t>objective, the settlor should consider an independent trustee</w:t>
      </w:r>
      <w:r w:rsidR="009A46AE">
        <w:t xml:space="preserve"> </w:t>
      </w:r>
      <w:r w:rsidRPr="0059378C">
        <w:t xml:space="preserve"> to allow for the allocation between principal and income, </w:t>
      </w:r>
      <w:r w:rsidR="00207F9C">
        <w:t xml:space="preserve">to provide the ability to </w:t>
      </w:r>
      <w:r w:rsidRPr="0059378C">
        <w:t xml:space="preserve">make discretionary distributions, and generally </w:t>
      </w:r>
      <w:r w:rsidR="00207F9C">
        <w:t xml:space="preserve">to </w:t>
      </w:r>
      <w:r w:rsidR="00BF0490">
        <w:t>afford</w:t>
      </w:r>
      <w:r w:rsidRPr="0059378C">
        <w:t xml:space="preserve"> more flexibility in trust administration.</w:t>
      </w:r>
      <w:r w:rsidRPr="0059378C">
        <w:rPr>
          <w:rStyle w:val="FootnoteReference"/>
          <w:rFonts w:cs="Times New Roman"/>
        </w:rPr>
        <w:footnoteReference w:id="14"/>
      </w:r>
      <w:r w:rsidRPr="0059378C">
        <w:t xml:space="preserve"> </w:t>
      </w:r>
      <w:r w:rsidR="00D2040F">
        <w:t> </w:t>
      </w:r>
      <w:r w:rsidR="00207F9C">
        <w:t>I</w:t>
      </w:r>
      <w:r w:rsidRPr="0059378C">
        <w:t xml:space="preserve">f a trust is primarily intended to </w:t>
      </w:r>
      <w:r w:rsidR="00207F9C">
        <w:t xml:space="preserve">provide a structure through which a beneficiary can be </w:t>
      </w:r>
      <w:r w:rsidRPr="0059378C">
        <w:t>educate</w:t>
      </w:r>
      <w:r w:rsidR="00207F9C">
        <w:t>d</w:t>
      </w:r>
      <w:r w:rsidRPr="0059378C">
        <w:t xml:space="preserve"> regarding financial management, then the settlor may focus on </w:t>
      </w:r>
      <w:r w:rsidR="00BF0490">
        <w:t>selecting</w:t>
      </w:r>
      <w:r w:rsidRPr="0059378C">
        <w:t xml:space="preserve"> a trustee </w:t>
      </w:r>
      <w:r w:rsidR="00BF0490">
        <w:t xml:space="preserve">who has </w:t>
      </w:r>
      <w:r w:rsidRPr="0059378C">
        <w:t xml:space="preserve">a good relationship with the beneficiary and who could take on a mentoring role in addition to </w:t>
      </w:r>
      <w:r w:rsidR="00BF0490">
        <w:t xml:space="preserve">the mechanics of </w:t>
      </w:r>
      <w:r w:rsidRPr="0059378C">
        <w:t>administering the trust.</w:t>
      </w:r>
      <w:r w:rsidRPr="0059378C">
        <w:rPr>
          <w:rStyle w:val="FootnoteReference"/>
          <w:rFonts w:cs="Times New Roman"/>
        </w:rPr>
        <w:footnoteReference w:id="15"/>
      </w:r>
      <w:r w:rsidRPr="0059378C">
        <w:t xml:space="preserve">  However, regardless of the reason for creating the trust, there are certain characteristics shared by all </w:t>
      </w:r>
      <w:r w:rsidR="00BF0490">
        <w:t>g</w:t>
      </w:r>
      <w:r w:rsidRPr="0059378C">
        <w:t>ood trustees, individual and corporate.</w:t>
      </w:r>
      <w:r w:rsidRPr="0059378C">
        <w:rPr>
          <w:rStyle w:val="FootnoteReference"/>
          <w:rFonts w:cs="Times New Roman"/>
        </w:rPr>
        <w:footnoteReference w:id="16"/>
      </w:r>
    </w:p>
    <w:p w14:paraId="75F4DD02" w14:textId="77777777" w:rsidR="003A0665" w:rsidRDefault="003A0665" w:rsidP="00561F7C">
      <w:pPr>
        <w:pStyle w:val="a-3rdSubHd"/>
        <w:spacing w:after="0" w:line="480" w:lineRule="auto"/>
      </w:pPr>
      <w:bookmarkStart w:id="5" w:name="_Toc7167181"/>
      <w:bookmarkStart w:id="6" w:name="_Toc31203576"/>
      <w:r w:rsidRPr="0059378C">
        <w:t>1.  Personal and Business Skills</w:t>
      </w:r>
      <w:bookmarkEnd w:id="5"/>
      <w:bookmarkEnd w:id="6"/>
    </w:p>
    <w:p w14:paraId="4DCF812C" w14:textId="77777777" w:rsidR="003A0665" w:rsidRPr="0059378C" w:rsidRDefault="003A0665" w:rsidP="00561F7C">
      <w:pPr>
        <w:spacing w:line="480" w:lineRule="auto"/>
      </w:pPr>
    </w:p>
    <w:p w14:paraId="2C9B611B" w14:textId="0730D6E0" w:rsidR="003A0665" w:rsidRPr="0059378C" w:rsidRDefault="003A0665" w:rsidP="00561F7C">
      <w:pPr>
        <w:pStyle w:val="b-bodytext"/>
        <w:spacing w:line="480" w:lineRule="auto"/>
      </w:pPr>
      <w:r w:rsidRPr="0059378C">
        <w:lastRenderedPageBreak/>
        <w:t>Although wealth preservation may not be the primary reason for establishing a trust, it is inevitably one of the settlor</w:t>
      </w:r>
      <w:r w:rsidR="001A6DCB">
        <w:t>’</w:t>
      </w:r>
      <w:r w:rsidRPr="0059378C">
        <w:t>s objectives.</w:t>
      </w:r>
      <w:r w:rsidRPr="0059378C">
        <w:rPr>
          <w:rStyle w:val="FootnoteReference"/>
          <w:rFonts w:cs="Times New Roman"/>
        </w:rPr>
        <w:footnoteReference w:id="17"/>
      </w:r>
      <w:r w:rsidRPr="0059378C">
        <w:t xml:space="preserve"> </w:t>
      </w:r>
      <w:r w:rsidR="00154781">
        <w:t> </w:t>
      </w:r>
      <w:r w:rsidR="00207F9C">
        <w:t>No</w:t>
      </w:r>
      <w:r w:rsidRPr="0059378C">
        <w:t xml:space="preserve"> trust will be of </w:t>
      </w:r>
      <w:r w:rsidR="00207F9C">
        <w:t>any</w:t>
      </w:r>
      <w:r w:rsidRPr="0059378C">
        <w:t xml:space="preserve"> use if the trustee imprudently administers and dissipates the trust estate.</w:t>
      </w:r>
      <w:r w:rsidRPr="0059378C">
        <w:rPr>
          <w:rStyle w:val="FootnoteReference"/>
          <w:rFonts w:cs="Times New Roman"/>
        </w:rPr>
        <w:footnoteReference w:id="18"/>
      </w:r>
      <w:r w:rsidRPr="0059378C">
        <w:t xml:space="preserve"> </w:t>
      </w:r>
      <w:r w:rsidR="00154781">
        <w:t> </w:t>
      </w:r>
      <w:r w:rsidRPr="0059378C">
        <w:t xml:space="preserve">Therefore, a trustee should not only be organized and responsible, but ideally should have investment and accounting experience </w:t>
      </w:r>
      <w:r w:rsidR="00207F9C">
        <w:t xml:space="preserve">as </w:t>
      </w:r>
      <w:proofErr w:type="gramStart"/>
      <w:r w:rsidR="00207F9C">
        <w:t>well,</w:t>
      </w:r>
      <w:r w:rsidRPr="0059378C">
        <w:t xml:space="preserve"> or</w:t>
      </w:r>
      <w:proofErr w:type="gramEnd"/>
      <w:r w:rsidRPr="0059378C">
        <w:t xml:space="preserve"> should </w:t>
      </w:r>
      <w:r w:rsidR="00207F9C">
        <w:t xml:space="preserve">at least </w:t>
      </w:r>
      <w:r w:rsidRPr="0059378C">
        <w:t>be knowledgeable enough and willing to delegate these duties to agents w</w:t>
      </w:r>
      <w:r w:rsidR="00BF0490">
        <w:t>ith</w:t>
      </w:r>
      <w:r w:rsidRPr="0059378C">
        <w:t xml:space="preserve"> such experience.</w:t>
      </w:r>
      <w:r w:rsidRPr="0059378C">
        <w:rPr>
          <w:rStyle w:val="FootnoteReference"/>
          <w:rFonts w:cs="Times New Roman"/>
        </w:rPr>
        <w:footnoteReference w:id="19"/>
      </w:r>
    </w:p>
    <w:p w14:paraId="5FE926C4" w14:textId="77777777" w:rsidR="003A0665" w:rsidRPr="0059378C" w:rsidRDefault="003A0665" w:rsidP="00561F7C">
      <w:pPr>
        <w:pStyle w:val="a-3rdSubHd"/>
        <w:spacing w:line="480" w:lineRule="auto"/>
      </w:pPr>
      <w:bookmarkStart w:id="7" w:name="_Toc7167182"/>
      <w:bookmarkStart w:id="8" w:name="_Toc31203577"/>
      <w:r w:rsidRPr="0059378C">
        <w:t>2.  Peacemaker</w:t>
      </w:r>
      <w:bookmarkEnd w:id="7"/>
      <w:bookmarkEnd w:id="8"/>
    </w:p>
    <w:p w14:paraId="0E8124DE" w14:textId="35C04284" w:rsidR="003A0665" w:rsidRPr="0059378C" w:rsidRDefault="003A0665" w:rsidP="00561F7C">
      <w:pPr>
        <w:pStyle w:val="b-bodytext"/>
        <w:spacing w:line="480" w:lineRule="auto"/>
      </w:pPr>
      <w:r w:rsidRPr="0059378C">
        <w:t xml:space="preserve">Each financial institution offering corporate trustee services has its own culture, and a settlor should find one that he believes </w:t>
      </w:r>
      <w:r w:rsidR="00BF0490">
        <w:t>could</w:t>
      </w:r>
      <w:r w:rsidR="00207F9C">
        <w:t xml:space="preserve"> smoothly integrate itself within the family, and especially with the trust beneficiaries</w:t>
      </w:r>
      <w:r w:rsidRPr="0059378C">
        <w:t>.</w:t>
      </w:r>
      <w:r w:rsidRPr="0059378C">
        <w:rPr>
          <w:rStyle w:val="FootnoteReference"/>
          <w:rFonts w:cs="Times New Roman"/>
        </w:rPr>
        <w:footnoteReference w:id="20"/>
      </w:r>
    </w:p>
    <w:p w14:paraId="0B700F33" w14:textId="064F6839" w:rsidR="003A0665" w:rsidRPr="0059378C" w:rsidRDefault="003A0665" w:rsidP="00561F7C">
      <w:pPr>
        <w:pStyle w:val="b-bodytext"/>
        <w:spacing w:line="480" w:lineRule="auto"/>
      </w:pPr>
      <w:r w:rsidRPr="0059378C">
        <w:lastRenderedPageBreak/>
        <w:t xml:space="preserve">If an individual family member or friend is being considered as a potential trustee, such person should be </w:t>
      </w:r>
      <w:r w:rsidR="00207F9C">
        <w:t xml:space="preserve">intuitive, a good communicator, and </w:t>
      </w:r>
      <w:r w:rsidRPr="0059378C">
        <w:t xml:space="preserve">a </w:t>
      </w:r>
      <w:r w:rsidR="00207F9C">
        <w:t xml:space="preserve">natural </w:t>
      </w:r>
      <w:r w:rsidRPr="0059378C">
        <w:t>problem-solver (and it would</w:t>
      </w:r>
      <w:r w:rsidR="00207F9C">
        <w:t>n’t hurt</w:t>
      </w:r>
      <w:r w:rsidRPr="0059378C">
        <w:t xml:space="preserve"> if he or she also had a thick skin).</w:t>
      </w:r>
      <w:r w:rsidRPr="0059378C">
        <w:rPr>
          <w:rStyle w:val="FootnoteReference"/>
          <w:rFonts w:cs="Times New Roman"/>
        </w:rPr>
        <w:footnoteReference w:id="21"/>
      </w:r>
      <w:r w:rsidRPr="0059378C">
        <w:t xml:space="preserve">  Administering a trust will very likely require obtaining sensitive financial and personal information from beneficiaries, refusing to make certain distributions or investments, and explaining to remainder beneficiaries why other distributions were made.  </w:t>
      </w:r>
      <w:r w:rsidR="00207F9C">
        <w:t>In some cases</w:t>
      </w:r>
      <w:r w:rsidR="008474D5">
        <w:t xml:space="preserve">, a distribution or investment may objectively make sense, but nevertheless not be permissible under the trust terms. Understanding this and explaining it does not come naturally to most people. </w:t>
      </w:r>
      <w:r w:rsidRPr="0059378C">
        <w:t>Choosing a diplomatic trustee is key.</w:t>
      </w:r>
      <w:r w:rsidRPr="0059378C">
        <w:rPr>
          <w:rStyle w:val="FootnoteReference"/>
          <w:rFonts w:cs="Times New Roman"/>
        </w:rPr>
        <w:footnoteReference w:id="22"/>
      </w:r>
    </w:p>
    <w:p w14:paraId="6503D3FE" w14:textId="55997A3D" w:rsidR="003A0665" w:rsidRPr="0059378C" w:rsidRDefault="003A0665" w:rsidP="00561F7C">
      <w:pPr>
        <w:pStyle w:val="b-bodytext"/>
        <w:spacing w:line="480" w:lineRule="auto"/>
      </w:pPr>
      <w:r w:rsidRPr="0059378C">
        <w:t>Even within closely-knit families, there are few, if any, occasions for one adult family member to manage another adult family member</w:t>
      </w:r>
      <w:r w:rsidR="001A6DCB">
        <w:t>’</w:t>
      </w:r>
      <w:r w:rsidRPr="0059378C">
        <w:t>s finances</w:t>
      </w:r>
      <w:r w:rsidR="009A46AE">
        <w:t>,</w:t>
      </w:r>
      <w:r w:rsidRPr="0059378C">
        <w:t xml:space="preserve"> so the trustee-beneficiary relationship introduces a new dynamic which can cause unanticipated results.</w:t>
      </w:r>
      <w:r w:rsidRPr="0059378C">
        <w:rPr>
          <w:rStyle w:val="FootnoteReference"/>
          <w:rFonts w:cs="Times New Roman"/>
        </w:rPr>
        <w:footnoteReference w:id="23"/>
      </w:r>
    </w:p>
    <w:p w14:paraId="5EE8A784" w14:textId="28DC84C0" w:rsidR="003A0665" w:rsidRDefault="003A0665" w:rsidP="00561F7C">
      <w:pPr>
        <w:pStyle w:val="b-bodytext"/>
        <w:spacing w:line="480" w:lineRule="auto"/>
      </w:pPr>
      <w:r w:rsidRPr="0059378C">
        <w:t xml:space="preserve">If tension or </w:t>
      </w:r>
      <w:r w:rsidR="008474D5">
        <w:t>hostility</w:t>
      </w:r>
      <w:r w:rsidRPr="0059378C">
        <w:t xml:space="preserve"> is anticipated from the beginning, a corporate trustee may be preferable.</w:t>
      </w:r>
      <w:r w:rsidRPr="0059378C">
        <w:rPr>
          <w:rStyle w:val="FootnoteReference"/>
          <w:rFonts w:cs="Times New Roman"/>
        </w:rPr>
        <w:footnoteReference w:id="24"/>
      </w:r>
      <w:r w:rsidRPr="0059378C">
        <w:t xml:space="preserve"> </w:t>
      </w:r>
      <w:r w:rsidR="00154781">
        <w:t> </w:t>
      </w:r>
      <w:r w:rsidRPr="0059378C">
        <w:t xml:space="preserve">In such situations, interviewing multiple </w:t>
      </w:r>
      <w:r w:rsidRPr="0059378C">
        <w:lastRenderedPageBreak/>
        <w:t xml:space="preserve">corporate trustees to learn the institutional protocol for handling </w:t>
      </w:r>
      <w:r w:rsidR="008474D5">
        <w:t>conflict</w:t>
      </w:r>
      <w:r w:rsidRPr="0059378C">
        <w:t xml:space="preserve"> </w:t>
      </w:r>
      <w:r w:rsidR="008474D5">
        <w:t xml:space="preserve">and choosing the trustee with an approach that the settlor anticipates may work best for his family </w:t>
      </w:r>
      <w:r w:rsidRPr="0059378C">
        <w:t>can lead to fewer problems t for all parties in the future.</w:t>
      </w:r>
      <w:r w:rsidRPr="0059378C">
        <w:rPr>
          <w:rStyle w:val="FootnoteReference"/>
          <w:rFonts w:cs="Times New Roman"/>
        </w:rPr>
        <w:footnoteReference w:id="25"/>
      </w:r>
    </w:p>
    <w:p w14:paraId="2F7192F4" w14:textId="77777777" w:rsidR="003A0665" w:rsidRDefault="003A0665" w:rsidP="00561F7C">
      <w:pPr>
        <w:pStyle w:val="a-3rdSubHd"/>
        <w:spacing w:line="480" w:lineRule="auto"/>
      </w:pPr>
      <w:bookmarkStart w:id="9" w:name="_Toc7167183"/>
      <w:bookmarkStart w:id="10" w:name="_Toc31203578"/>
      <w:r w:rsidRPr="0059378C">
        <w:t>3.  Available</w:t>
      </w:r>
      <w:bookmarkEnd w:id="9"/>
      <w:bookmarkEnd w:id="10"/>
    </w:p>
    <w:p w14:paraId="5690FDB4" w14:textId="18BB9E6C" w:rsidR="003A0665" w:rsidRPr="0059378C" w:rsidRDefault="003A0665" w:rsidP="00561F7C">
      <w:pPr>
        <w:pStyle w:val="b-bodytext"/>
        <w:spacing w:line="480" w:lineRule="auto"/>
      </w:pPr>
      <w:r w:rsidRPr="0059378C">
        <w:t>Although the amount of time required  varies depending on the trust terms, needs of the beneficiaries, and other factors, administering a trust can take a significant amount of time and energy.</w:t>
      </w:r>
      <w:bookmarkStart w:id="11" w:name="_Ref33803071"/>
      <w:r w:rsidRPr="0059378C">
        <w:rPr>
          <w:rStyle w:val="FootnoteReference"/>
          <w:rFonts w:cs="Times New Roman"/>
        </w:rPr>
        <w:footnoteReference w:id="26"/>
      </w:r>
      <w:bookmarkEnd w:id="11"/>
      <w:r w:rsidRPr="0059378C">
        <w:t xml:space="preserve"> </w:t>
      </w:r>
      <w:r w:rsidR="00154781">
        <w:t> </w:t>
      </w:r>
      <w:r w:rsidRPr="0059378C">
        <w:t xml:space="preserve">Individuals, particularly those with strong business </w:t>
      </w:r>
      <w:r w:rsidR="008474D5">
        <w:t xml:space="preserve">and interpersonal </w:t>
      </w:r>
      <w:r w:rsidRPr="0059378C">
        <w:t>skills, often have careers, activities and personal obligations outside of work.</w:t>
      </w:r>
      <w:r w:rsidRPr="0059378C">
        <w:rPr>
          <w:rStyle w:val="FootnoteReference"/>
          <w:rFonts w:cs="Times New Roman"/>
        </w:rPr>
        <w:footnoteReference w:id="27"/>
      </w:r>
      <w:r w:rsidRPr="0059378C">
        <w:t xml:space="preserve">  This can lead to a lack of or delayed communication between the trustee and beneficiary, which can cause feelings of resentment and suspicion from both sides.</w:t>
      </w:r>
      <w:r w:rsidRPr="0059378C">
        <w:rPr>
          <w:rStyle w:val="FootnoteReference"/>
          <w:rFonts w:cs="Times New Roman"/>
        </w:rPr>
        <w:footnoteReference w:id="28"/>
      </w:r>
      <w:r w:rsidRPr="0059378C">
        <w:t xml:space="preserve"> </w:t>
      </w:r>
      <w:r w:rsidR="00154781">
        <w:t> </w:t>
      </w:r>
      <w:r w:rsidRPr="0059378C">
        <w:t xml:space="preserve">The </w:t>
      </w:r>
      <w:r w:rsidRPr="0059378C">
        <w:lastRenderedPageBreak/>
        <w:t xml:space="preserve">beneficiary </w:t>
      </w:r>
      <w:r w:rsidR="008474D5">
        <w:t>may</w:t>
      </w:r>
      <w:r w:rsidRPr="0059378C">
        <w:t xml:space="preserve"> resent the trustee for not </w:t>
      </w:r>
      <w:r w:rsidR="008474D5">
        <w:t xml:space="preserve">promptly </w:t>
      </w:r>
      <w:r w:rsidRPr="0059378C">
        <w:t xml:space="preserve">responding to </w:t>
      </w:r>
      <w:r w:rsidR="008474D5">
        <w:t xml:space="preserve">questions and </w:t>
      </w:r>
      <w:r w:rsidRPr="0059378C">
        <w:t>requests and suspect that the trustee is not providing information because of mismanagement or theft.</w:t>
      </w:r>
      <w:r w:rsidRPr="0059378C">
        <w:rPr>
          <w:rStyle w:val="FootnoteReference"/>
          <w:rFonts w:cs="Times New Roman"/>
        </w:rPr>
        <w:footnoteReference w:id="29"/>
      </w:r>
      <w:r w:rsidRPr="0059378C">
        <w:t xml:space="preserve"> </w:t>
      </w:r>
      <w:r w:rsidR="00154781">
        <w:t> </w:t>
      </w:r>
      <w:r w:rsidRPr="0059378C">
        <w:t xml:space="preserve">The trustee </w:t>
      </w:r>
      <w:r w:rsidR="008474D5">
        <w:t xml:space="preserve">may </w:t>
      </w:r>
      <w:r w:rsidRPr="0059378C">
        <w:t>resent the beneficiary</w:t>
      </w:r>
      <w:r w:rsidR="001A6DCB">
        <w:t>’</w:t>
      </w:r>
      <w:r w:rsidRPr="0059378C">
        <w:t>s expectations of immediate action, particularly if the trustee is not being compensated for serving as fiduciary.</w:t>
      </w:r>
      <w:r w:rsidRPr="0059378C">
        <w:rPr>
          <w:rStyle w:val="FootnoteReference"/>
          <w:rFonts w:cs="Times New Roman"/>
        </w:rPr>
        <w:footnoteReference w:id="30"/>
      </w:r>
    </w:p>
    <w:p w14:paraId="27BE3243" w14:textId="70B946C2" w:rsidR="003A0665" w:rsidRPr="0059378C" w:rsidRDefault="003A0665" w:rsidP="00561F7C">
      <w:pPr>
        <w:pStyle w:val="b-bodytext"/>
        <w:spacing w:line="480" w:lineRule="auto"/>
        <w:rPr>
          <w:rFonts w:cs="Times New Roman"/>
        </w:rPr>
      </w:pPr>
      <w:r w:rsidRPr="0059378C">
        <w:t>Moreover, although a</w:t>
      </w:r>
      <w:r w:rsidR="008474D5">
        <w:t xml:space="preserve"> corporate trustee or a</w:t>
      </w:r>
      <w:r w:rsidRPr="0059378C">
        <w:t>n individual may always decline to serve as trustee,</w:t>
      </w:r>
      <w:r w:rsidR="008474D5">
        <w:t xml:space="preserve"> certain individuals may feel compelled by feelings of guilt or obligation </w:t>
      </w:r>
      <w:r w:rsidRPr="0059378C">
        <w:t>to assume a role that he or she does not have the time or energy to do correctly.</w:t>
      </w:r>
      <w:r w:rsidRPr="0059378C">
        <w:rPr>
          <w:rStyle w:val="FootnoteReference"/>
          <w:rFonts w:cs="Times New Roman"/>
        </w:rPr>
        <w:footnoteReference w:id="31"/>
      </w:r>
      <w:r w:rsidRPr="0059378C">
        <w:t xml:space="preserve">  Therefore, the availability of a potential trustee should be considered both when initially naming such trustee and at the time of acceptance.</w:t>
      </w:r>
      <w:r w:rsidRPr="0059378C">
        <w:rPr>
          <w:rStyle w:val="FootnoteReference"/>
          <w:rFonts w:cs="Times New Roman"/>
        </w:rPr>
        <w:footnoteReference w:id="32"/>
      </w:r>
    </w:p>
    <w:p w14:paraId="469AFFCB" w14:textId="77777777" w:rsidR="003A0665" w:rsidRDefault="003A0665" w:rsidP="00561F7C">
      <w:pPr>
        <w:pStyle w:val="a-2ndSubHd"/>
        <w:spacing w:line="480" w:lineRule="auto"/>
        <w:rPr>
          <w:b/>
        </w:rPr>
      </w:pPr>
      <w:bookmarkStart w:id="12" w:name="_Toc7167184"/>
      <w:bookmarkStart w:id="13" w:name="_Toc31203579"/>
      <w:r w:rsidRPr="00C420EB">
        <w:t>B.  Legal Duties of Trustee</w:t>
      </w:r>
      <w:bookmarkEnd w:id="12"/>
      <w:bookmarkEnd w:id="13"/>
    </w:p>
    <w:p w14:paraId="38F64B91" w14:textId="0E3173BE" w:rsidR="003A0665" w:rsidRPr="0059378C" w:rsidRDefault="003A0665" w:rsidP="00561F7C">
      <w:pPr>
        <w:pStyle w:val="b-bodytext"/>
        <w:spacing w:line="480" w:lineRule="auto"/>
        <w:rPr>
          <w:rFonts w:cs="Times New Roman"/>
        </w:rPr>
      </w:pPr>
      <w:r w:rsidRPr="0059378C">
        <w:t>All trustees are subject to certain legal duties that must be met in administering a trust.</w:t>
      </w:r>
      <w:r w:rsidRPr="0059378C">
        <w:rPr>
          <w:rStyle w:val="FootnoteReference"/>
          <w:rFonts w:cs="Times New Roman"/>
        </w:rPr>
        <w:footnoteReference w:id="33"/>
      </w:r>
    </w:p>
    <w:p w14:paraId="5BBDDD67" w14:textId="77777777" w:rsidR="003A0665" w:rsidRDefault="003A0665" w:rsidP="00561F7C">
      <w:pPr>
        <w:pStyle w:val="a-3rdSubHd"/>
        <w:spacing w:line="480" w:lineRule="auto"/>
      </w:pPr>
      <w:bookmarkStart w:id="14" w:name="_Toc7167185"/>
      <w:bookmarkStart w:id="15" w:name="_Toc31203580"/>
      <w:r w:rsidRPr="00C420EB">
        <w:lastRenderedPageBreak/>
        <w:t>1.  Duty of Loyalty</w:t>
      </w:r>
      <w:bookmarkEnd w:id="14"/>
      <w:bookmarkEnd w:id="15"/>
    </w:p>
    <w:p w14:paraId="42D2AD15" w14:textId="1642283A" w:rsidR="003A0665" w:rsidRDefault="003A0665" w:rsidP="00561F7C">
      <w:pPr>
        <w:pStyle w:val="b-bodytext"/>
        <w:spacing w:line="480" w:lineRule="auto"/>
      </w:pPr>
      <w:r w:rsidRPr="0059378C">
        <w:t>The duty of loyalty requires that a trustee place the interests of the beneficiaries above the trustee</w:t>
      </w:r>
      <w:r w:rsidR="001A6DCB">
        <w:t>’</w:t>
      </w:r>
      <w:r w:rsidRPr="0059378C">
        <w:t>s own interests.</w:t>
      </w:r>
      <w:r w:rsidRPr="0059378C">
        <w:rPr>
          <w:rStyle w:val="FootnoteReference"/>
          <w:rFonts w:cs="Times New Roman"/>
        </w:rPr>
        <w:footnoteReference w:id="34"/>
      </w:r>
      <w:r w:rsidRPr="0059378C">
        <w:t xml:space="preserve">  </w:t>
      </w:r>
      <w:r w:rsidR="0070346C">
        <w:t xml:space="preserve">This duty is reflected in </w:t>
      </w:r>
      <w:r w:rsidRPr="0059378C">
        <w:t xml:space="preserve"> Texas Trust Code </w:t>
      </w:r>
      <w:r w:rsidR="009A46AE">
        <w:t>s</w:t>
      </w:r>
      <w:r w:rsidRPr="0059378C">
        <w:t xml:space="preserve">ection 117.007 </w:t>
      </w:r>
      <w:r w:rsidR="0070346C">
        <w:t xml:space="preserve">which </w:t>
      </w:r>
      <w:r w:rsidRPr="0059378C">
        <w:t>states that a trustee must invest and manage trust assets for the sole benefit of the beneficiaries.</w:t>
      </w:r>
      <w:r w:rsidRPr="0059378C">
        <w:rPr>
          <w:rStyle w:val="FootnoteReference"/>
          <w:rFonts w:cs="Times New Roman"/>
        </w:rPr>
        <w:footnoteReference w:id="35"/>
      </w:r>
      <w:r w:rsidRPr="0059378C">
        <w:t xml:space="preserve">  A trustee is prohibited from using his or her fiduciary role to gain any benefit for himself or herself (other than trustee commissions), regardless of whether the trustee</w:t>
      </w:r>
      <w:r w:rsidR="001A6DCB">
        <w:t>’</w:t>
      </w:r>
      <w:r w:rsidRPr="0059378C">
        <w:t xml:space="preserve">s actions </w:t>
      </w:r>
      <w:r w:rsidRPr="0059378C">
        <w:rPr>
          <w:i/>
        </w:rPr>
        <w:t>also</w:t>
      </w:r>
      <w:r w:rsidRPr="00154781">
        <w:t xml:space="preserve"> </w:t>
      </w:r>
      <w:r w:rsidRPr="0059378C">
        <w:t>benefit the beneficiaries.</w:t>
      </w:r>
      <w:r w:rsidRPr="0059378C">
        <w:rPr>
          <w:rStyle w:val="FootnoteReference"/>
          <w:rFonts w:cs="Times New Roman"/>
        </w:rPr>
        <w:footnoteReference w:id="36"/>
      </w:r>
      <w:r w:rsidRPr="0059378C">
        <w:t xml:space="preserve">  </w:t>
      </w:r>
      <w:r w:rsidR="0070346C">
        <w:t>Th</w:t>
      </w:r>
      <w:r w:rsidR="00D46CAB">
        <w:t>e fact that self-dealing, even when it benefits all parties, is a breach of the duty of loyalty,</w:t>
      </w:r>
      <w:r w:rsidR="0070346C">
        <w:t xml:space="preserve"> can be a difficult concept for laypersons to grasp</w:t>
      </w:r>
      <w:r w:rsidR="00D46CAB">
        <w:t>.  This</w:t>
      </w:r>
      <w:r w:rsidR="0070346C">
        <w:t xml:space="preserve"> is further complicated when a single person is both trustee and beneficiary of the same trust. </w:t>
      </w:r>
      <w:r w:rsidR="00D46CAB">
        <w:t xml:space="preserve">If </w:t>
      </w:r>
      <w:proofErr w:type="gramStart"/>
      <w:r w:rsidR="00D46CAB">
        <w:t>desired</w:t>
      </w:r>
      <w:r w:rsidRPr="0059378C">
        <w:t xml:space="preserve">  </w:t>
      </w:r>
      <w:r w:rsidR="00D46CAB">
        <w:t>though</w:t>
      </w:r>
      <w:proofErr w:type="gramEnd"/>
      <w:r w:rsidR="00D46CAB">
        <w:t xml:space="preserve"> </w:t>
      </w:r>
      <w:r w:rsidRPr="0059378C">
        <w:t>self-dealing restrictions may be waived in the underlying trust instrument.</w:t>
      </w:r>
      <w:r w:rsidRPr="0059378C">
        <w:rPr>
          <w:rStyle w:val="FootnoteReference"/>
          <w:rFonts w:cs="Times New Roman"/>
        </w:rPr>
        <w:footnoteReference w:id="37"/>
      </w:r>
    </w:p>
    <w:p w14:paraId="63D7262B" w14:textId="77777777" w:rsidR="003A0665" w:rsidRDefault="003A0665" w:rsidP="00561F7C">
      <w:pPr>
        <w:pStyle w:val="a-3rdSubHd"/>
        <w:spacing w:line="480" w:lineRule="auto"/>
      </w:pPr>
      <w:bookmarkStart w:id="16" w:name="_Toc7167186"/>
      <w:bookmarkStart w:id="17" w:name="_Toc31203581"/>
      <w:r w:rsidRPr="007E12F8">
        <w:lastRenderedPageBreak/>
        <w:t>2.  Duty of Competence</w:t>
      </w:r>
      <w:bookmarkEnd w:id="16"/>
      <w:bookmarkEnd w:id="17"/>
    </w:p>
    <w:p w14:paraId="677F0486" w14:textId="0E345E05" w:rsidR="003A0665" w:rsidRPr="0059378C" w:rsidRDefault="003A0665" w:rsidP="00561F7C">
      <w:pPr>
        <w:pStyle w:val="b-bodytext"/>
        <w:spacing w:line="480" w:lineRule="auto"/>
      </w:pPr>
      <w:r w:rsidRPr="0059378C">
        <w:t>A trustee also has the duty to act reasonably in exercising the trustee</w:t>
      </w:r>
      <w:r w:rsidR="001A6DCB">
        <w:t>’</w:t>
      </w:r>
      <w:r w:rsidRPr="0059378C">
        <w:t>s discretion.</w:t>
      </w:r>
      <w:r w:rsidRPr="0059378C">
        <w:rPr>
          <w:rStyle w:val="FootnoteReference"/>
          <w:rFonts w:cs="Times New Roman"/>
        </w:rPr>
        <w:footnoteReference w:id="38"/>
      </w:r>
      <w:r w:rsidRPr="0059378C">
        <w:t xml:space="preserve">  This requires that a trustee make informed decisions based on the terms of the trust and in a manner that carries out the settlor</w:t>
      </w:r>
      <w:r w:rsidR="001A6DCB">
        <w:t>’</w:t>
      </w:r>
      <w:r w:rsidRPr="0059378C">
        <w:t>s intent.</w:t>
      </w:r>
      <w:r w:rsidRPr="0059378C">
        <w:rPr>
          <w:rStyle w:val="FootnoteReference"/>
          <w:rFonts w:cs="Times New Roman"/>
        </w:rPr>
        <w:footnoteReference w:id="39"/>
      </w:r>
    </w:p>
    <w:p w14:paraId="0EDD6D16" w14:textId="153C8C91" w:rsidR="003A0665" w:rsidRDefault="003A0665" w:rsidP="00561F7C">
      <w:pPr>
        <w:pStyle w:val="b-bodytext"/>
        <w:spacing w:line="480" w:lineRule="auto"/>
      </w:pPr>
      <w:r w:rsidRPr="0059378C">
        <w:t>As fundamental as this may seem, a trustee cannot fulfill this duty (or arguably any duty) if the trustee does not read and understand the trust instrument.</w:t>
      </w:r>
      <w:r w:rsidRPr="0059378C">
        <w:rPr>
          <w:rStyle w:val="FootnoteReference"/>
          <w:rFonts w:cs="Times New Roman"/>
        </w:rPr>
        <w:footnoteReference w:id="40"/>
      </w:r>
      <w:r w:rsidRPr="0059378C">
        <w:t xml:space="preserve"> </w:t>
      </w:r>
      <w:r w:rsidR="00154781">
        <w:t> </w:t>
      </w:r>
      <w:r w:rsidRPr="0059378C">
        <w:t>Generally speaking, it can be difficult for individual trustees to decipher the legalese of a trust agreement without the assistance of a trust attorney or other professional.</w:t>
      </w:r>
      <w:r w:rsidRPr="0059378C">
        <w:rPr>
          <w:rStyle w:val="FootnoteReference"/>
          <w:rFonts w:cs="Times New Roman"/>
        </w:rPr>
        <w:footnoteReference w:id="41"/>
      </w:r>
      <w:r w:rsidRPr="0059378C">
        <w:t xml:space="preserve"> </w:t>
      </w:r>
      <w:r w:rsidR="00154781">
        <w:t> </w:t>
      </w:r>
      <w:r w:rsidRPr="0059378C">
        <w:t xml:space="preserve">As a result, such trustees may administer a trust based on what the settlor may have told them prior to death or according to </w:t>
      </w:r>
      <w:r w:rsidRPr="0059378C">
        <w:rPr>
          <w:i/>
        </w:rPr>
        <w:t>their interpretation</w:t>
      </w:r>
      <w:r w:rsidRPr="0059378C">
        <w:t xml:space="preserve"> of the settlor</w:t>
      </w:r>
      <w:r w:rsidR="001A6DCB">
        <w:t>’</w:t>
      </w:r>
      <w:r w:rsidRPr="0059378C">
        <w:t>s intent.</w:t>
      </w:r>
      <w:r w:rsidRPr="0059378C">
        <w:rPr>
          <w:rStyle w:val="FootnoteReference"/>
          <w:rFonts w:cs="Times New Roman"/>
        </w:rPr>
        <w:footnoteReference w:id="42"/>
      </w:r>
      <w:r w:rsidRPr="0059378C">
        <w:t xml:space="preserve"> </w:t>
      </w:r>
      <w:r w:rsidR="00154781">
        <w:t> </w:t>
      </w:r>
      <w:r w:rsidRPr="0059378C">
        <w:t>Although such actions are understandable, inexperience and lack of understanding are not acceptable defenses to breach of fiduciary duty.</w:t>
      </w:r>
      <w:r w:rsidRPr="0059378C">
        <w:rPr>
          <w:rStyle w:val="FootnoteReference"/>
          <w:rFonts w:cs="Times New Roman"/>
        </w:rPr>
        <w:footnoteReference w:id="43"/>
      </w:r>
      <w:r w:rsidRPr="0059378C">
        <w:t xml:space="preserve">  Practitioners need to emphasize to clients that individual trustees should consult with a trust attorney to make </w:t>
      </w:r>
      <w:r w:rsidRPr="0059378C">
        <w:lastRenderedPageBreak/>
        <w:t xml:space="preserve">sure that they understand the trust terms </w:t>
      </w:r>
      <w:r w:rsidRPr="0059378C">
        <w:rPr>
          <w:i/>
        </w:rPr>
        <w:t>before</w:t>
      </w:r>
      <w:r w:rsidRPr="0059378C">
        <w:t xml:space="preserve"> accepting the role of trustee.</w:t>
      </w:r>
      <w:r w:rsidRPr="0059378C">
        <w:rPr>
          <w:rStyle w:val="FootnoteReference"/>
          <w:rFonts w:cs="Times New Roman"/>
        </w:rPr>
        <w:footnoteReference w:id="44"/>
      </w:r>
      <w:r w:rsidRPr="0059378C">
        <w:t xml:space="preserve">  Below is an example of suggested trust provision to encourage individual trustees to seek such advice.</w:t>
      </w:r>
    </w:p>
    <w:p w14:paraId="5FAEA7C0" w14:textId="77777777" w:rsidR="003A0665" w:rsidRPr="0059378C" w:rsidRDefault="003A0665" w:rsidP="00561F7C">
      <w:pPr>
        <w:spacing w:line="480" w:lineRule="auto"/>
      </w:pPr>
    </w:p>
    <w:tbl>
      <w:tblPr>
        <w:tblStyle w:val="TableGrid"/>
        <w:tblW w:w="0" w:type="auto"/>
        <w:jc w:val="center"/>
        <w:shd w:val="pct5" w:color="auto" w:fill="auto"/>
        <w:tblLook w:val="04A0" w:firstRow="1" w:lastRow="0" w:firstColumn="1" w:lastColumn="0" w:noHBand="0" w:noVBand="1"/>
      </w:tblPr>
      <w:tblGrid>
        <w:gridCol w:w="6710"/>
      </w:tblGrid>
      <w:tr w:rsidR="003A0665" w:rsidRPr="0059378C" w14:paraId="561F3CC9" w14:textId="77777777" w:rsidTr="00D3595A">
        <w:trPr>
          <w:jc w:val="center"/>
        </w:trPr>
        <w:tc>
          <w:tcPr>
            <w:tcW w:w="7871" w:type="dxa"/>
            <w:shd w:val="pct5" w:color="auto" w:fill="auto"/>
          </w:tcPr>
          <w:p w14:paraId="4A666AE2" w14:textId="502ED962" w:rsidR="003A0665" w:rsidRPr="00154781" w:rsidRDefault="003A0665" w:rsidP="00561F7C">
            <w:pPr>
              <w:spacing w:line="480" w:lineRule="auto"/>
              <w:jc w:val="both"/>
              <w:rPr>
                <w:rFonts w:ascii="Times New Roman" w:hAnsi="Times New Roman" w:cs="Times New Roman"/>
                <w:sz w:val="22"/>
                <w:szCs w:val="22"/>
              </w:rPr>
            </w:pPr>
            <w:r w:rsidRPr="00154781">
              <w:rPr>
                <w:rFonts w:ascii="Times New Roman" w:hAnsi="Times New Roman" w:cs="Times New Roman"/>
                <w:b/>
                <w:i/>
                <w:sz w:val="22"/>
                <w:szCs w:val="22"/>
              </w:rPr>
              <w:t>Recommendation for Individual Trustees</w:t>
            </w:r>
            <w:r w:rsidRPr="00154781">
              <w:rPr>
                <w:rFonts w:ascii="Times New Roman" w:hAnsi="Times New Roman" w:cs="Times New Roman"/>
                <w:sz w:val="22"/>
                <w:szCs w:val="22"/>
              </w:rPr>
              <w:t xml:space="preserve">.  I recommend, but do not require, that for at least the first year in which any individual serve as Trustee of a trust hereunder, that such individual either appoint a corporate fiduciary to serve as agent for the trust or engage a qualified trust attorney to advise the individual Trustee as to proper administration of the trust. </w:t>
            </w:r>
            <w:r w:rsidR="00154781">
              <w:rPr>
                <w:rFonts w:ascii="Times New Roman" w:hAnsi="Times New Roman" w:cs="Times New Roman"/>
                <w:sz w:val="22"/>
                <w:szCs w:val="22"/>
              </w:rPr>
              <w:t xml:space="preserve"> </w:t>
            </w:r>
            <w:r w:rsidRPr="00154781">
              <w:rPr>
                <w:rFonts w:ascii="Times New Roman" w:hAnsi="Times New Roman" w:cs="Times New Roman"/>
                <w:sz w:val="22"/>
                <w:szCs w:val="22"/>
              </w:rPr>
              <w:t>Expending trust funds to cover the costs of taking such actions shall be deemed reasonable and necessary.  Alternatively, I recommend, but do not require, that each Beneficiary of a Descendant</w:t>
            </w:r>
            <w:r w:rsidR="001A6DCB">
              <w:rPr>
                <w:rFonts w:ascii="Times New Roman" w:hAnsi="Times New Roman" w:cs="Times New Roman"/>
                <w:sz w:val="22"/>
                <w:szCs w:val="22"/>
              </w:rPr>
              <w:t>’</w:t>
            </w:r>
            <w:r w:rsidRPr="00154781">
              <w:rPr>
                <w:rFonts w:ascii="Times New Roman" w:hAnsi="Times New Roman" w:cs="Times New Roman"/>
                <w:sz w:val="22"/>
                <w:szCs w:val="22"/>
              </w:rPr>
              <w:t xml:space="preserve">s Trust hereunder first serve as Co-Trustee for five years </w:t>
            </w:r>
            <w:proofErr w:type="gramStart"/>
            <w:r w:rsidRPr="00154781">
              <w:rPr>
                <w:rFonts w:ascii="Times New Roman" w:hAnsi="Times New Roman" w:cs="Times New Roman"/>
                <w:sz w:val="22"/>
                <w:szCs w:val="22"/>
              </w:rPr>
              <w:t>in order for</w:t>
            </w:r>
            <w:proofErr w:type="gramEnd"/>
            <w:r w:rsidRPr="00154781">
              <w:rPr>
                <w:rFonts w:ascii="Times New Roman" w:hAnsi="Times New Roman" w:cs="Times New Roman"/>
                <w:sz w:val="22"/>
                <w:szCs w:val="22"/>
              </w:rPr>
              <w:t xml:space="preserve"> the Beneficiary to learn about the duties and obligations of a trustee before appointing himself or herself as sole Trustee.  </w:t>
            </w:r>
          </w:p>
        </w:tc>
      </w:tr>
    </w:tbl>
    <w:p w14:paraId="5062AFF1" w14:textId="77777777" w:rsidR="003A0665" w:rsidRDefault="003A0665" w:rsidP="00561F7C">
      <w:pPr>
        <w:pStyle w:val="a-3rdSubHd"/>
        <w:spacing w:line="480" w:lineRule="auto"/>
      </w:pPr>
      <w:bookmarkStart w:id="18" w:name="_Toc7167187"/>
      <w:bookmarkStart w:id="19" w:name="_Toc31203582"/>
      <w:r w:rsidRPr="007E12F8">
        <w:lastRenderedPageBreak/>
        <w:t>3.  Duty of Disclosure</w:t>
      </w:r>
      <w:bookmarkEnd w:id="18"/>
      <w:bookmarkEnd w:id="19"/>
    </w:p>
    <w:p w14:paraId="4AA28B79" w14:textId="656893B7" w:rsidR="003A0665" w:rsidRPr="0059378C" w:rsidRDefault="003A0665" w:rsidP="00561F7C">
      <w:pPr>
        <w:pStyle w:val="b-bodytext"/>
        <w:spacing w:line="480" w:lineRule="auto"/>
      </w:pPr>
      <w:r w:rsidRPr="0059378C">
        <w:t>Trustees have a duty to keep beneficiaries reasonably informed of material facts concerning a trust</w:t>
      </w:r>
      <w:r w:rsidR="001A6DCB">
        <w:t>’</w:t>
      </w:r>
      <w:r w:rsidRPr="0059378C">
        <w:t>s administration that might affect a beneficiary</w:t>
      </w:r>
      <w:r w:rsidR="001A6DCB">
        <w:t>’</w:t>
      </w:r>
      <w:r w:rsidRPr="0059378C">
        <w:t>s rights.</w:t>
      </w:r>
      <w:r w:rsidRPr="0059378C">
        <w:rPr>
          <w:rStyle w:val="FootnoteReference"/>
          <w:rFonts w:cs="Times New Roman"/>
        </w:rPr>
        <w:footnoteReference w:id="45"/>
      </w:r>
      <w:r w:rsidRPr="0059378C">
        <w:t xml:space="preserve"> </w:t>
      </w:r>
      <w:r w:rsidR="00154781">
        <w:t> </w:t>
      </w:r>
      <w:r w:rsidRPr="0059378C">
        <w:t xml:space="preserve">The </w:t>
      </w:r>
      <w:r w:rsidR="001A6DCB">
        <w:t>“</w:t>
      </w:r>
      <w:r w:rsidRPr="0059378C">
        <w:t>high</w:t>
      </w:r>
      <w:r w:rsidR="001A6DCB">
        <w:t>”</w:t>
      </w:r>
      <w:r w:rsidRPr="0059378C">
        <w:t xml:space="preserve"> duty of full disclosure is broad and extensive, although it is not unlimited.</w:t>
      </w:r>
      <w:r w:rsidRPr="0059378C">
        <w:rPr>
          <w:rStyle w:val="FootnoteReference"/>
          <w:rFonts w:cs="Times New Roman"/>
        </w:rPr>
        <w:footnoteReference w:id="46"/>
      </w:r>
    </w:p>
    <w:p w14:paraId="5F3FE685" w14:textId="1BFDCC5D" w:rsidR="003A0665" w:rsidRPr="0059378C" w:rsidRDefault="003A0665" w:rsidP="00561F7C">
      <w:pPr>
        <w:pStyle w:val="b-bodytext"/>
        <w:spacing w:line="480" w:lineRule="auto"/>
      </w:pPr>
      <w:r w:rsidRPr="0059378C">
        <w:t>Trustees most often satisfy their duties of full disclosure by providing accountings to beneficiaries.</w:t>
      </w:r>
      <w:r w:rsidRPr="0059378C">
        <w:rPr>
          <w:rStyle w:val="FootnoteReference"/>
          <w:rFonts w:cs="Times New Roman"/>
        </w:rPr>
        <w:footnoteReference w:id="47"/>
      </w:r>
      <w:r w:rsidRPr="0059378C">
        <w:t xml:space="preserve">  Texas law requires that upon written demand of a beneficiary, a trustee has a duty to provide a formal trust accounting.</w:t>
      </w:r>
      <w:r w:rsidRPr="0059378C">
        <w:rPr>
          <w:rStyle w:val="FootnoteReference"/>
          <w:rFonts w:cs="Times New Roman"/>
        </w:rPr>
        <w:footnoteReference w:id="48"/>
      </w:r>
      <w:r w:rsidRPr="0059378C">
        <w:t xml:space="preserve">  Trust accountings are discussed further in Section II.C below and the duty of disclosure is discussed further in Section III.A.1.</w:t>
      </w:r>
      <w:r w:rsidRPr="0059378C">
        <w:rPr>
          <w:rStyle w:val="FootnoteReference"/>
          <w:rFonts w:cs="Times New Roman"/>
        </w:rPr>
        <w:footnoteReference w:id="49"/>
      </w:r>
    </w:p>
    <w:p w14:paraId="317B6225" w14:textId="77777777" w:rsidR="003A0665" w:rsidRDefault="003A0665" w:rsidP="00561F7C">
      <w:pPr>
        <w:pStyle w:val="a-3rdSubHd"/>
        <w:spacing w:line="480" w:lineRule="auto"/>
      </w:pPr>
      <w:bookmarkStart w:id="20" w:name="_Toc7167188"/>
      <w:bookmarkStart w:id="21" w:name="_Toc31203583"/>
      <w:r w:rsidRPr="007E12F8">
        <w:t>4.  Duty of Care</w:t>
      </w:r>
      <w:bookmarkEnd w:id="20"/>
      <w:bookmarkEnd w:id="21"/>
    </w:p>
    <w:p w14:paraId="3A20E8C9" w14:textId="74464095" w:rsidR="003A0665" w:rsidRPr="0059378C" w:rsidRDefault="003A0665" w:rsidP="00561F7C">
      <w:pPr>
        <w:pStyle w:val="b-bodytext"/>
        <w:spacing w:line="480" w:lineRule="auto"/>
      </w:pPr>
      <w:r w:rsidRPr="0059378C">
        <w:t>Under common law, a trustee has the duty to administer a trust with care, diligence, and prudence.</w:t>
      </w:r>
      <w:r w:rsidRPr="0059378C">
        <w:rPr>
          <w:rStyle w:val="FootnoteReference"/>
          <w:rFonts w:cs="Times New Roman"/>
        </w:rPr>
        <w:footnoteReference w:id="50"/>
      </w:r>
      <w:r w:rsidRPr="0059378C">
        <w:t xml:space="preserve">  A trustee must exercise such care and skill </w:t>
      </w:r>
      <w:r w:rsidRPr="0059378C">
        <w:lastRenderedPageBreak/>
        <w:t>as a person of ordinary prudence would exercise in dealing with the person</w:t>
      </w:r>
      <w:r w:rsidR="001A6DCB">
        <w:t>’</w:t>
      </w:r>
      <w:r w:rsidRPr="0059378C">
        <w:t>s own property.</w:t>
      </w:r>
      <w:r w:rsidRPr="0059378C">
        <w:rPr>
          <w:rStyle w:val="FootnoteReference"/>
          <w:rFonts w:cs="Times New Roman"/>
        </w:rPr>
        <w:footnoteReference w:id="51"/>
      </w:r>
    </w:p>
    <w:p w14:paraId="1B8F4AD4" w14:textId="5E9EF670" w:rsidR="003A0665" w:rsidRDefault="003A0665" w:rsidP="00561F7C">
      <w:pPr>
        <w:pStyle w:val="b-bodytext"/>
        <w:spacing w:line="480" w:lineRule="auto"/>
      </w:pPr>
      <w:r w:rsidRPr="0059378C">
        <w:t xml:space="preserve">Texas Trust Code </w:t>
      </w:r>
      <w:r w:rsidR="009A46AE">
        <w:t>s</w:t>
      </w:r>
      <w:r w:rsidRPr="0059378C">
        <w:t xml:space="preserve">ection 117.004 codifies this rule in terms of the investment and management of trust assets by stating that </w:t>
      </w:r>
      <w:r w:rsidR="001A6DCB">
        <w:t>“</w:t>
      </w:r>
      <w:r w:rsidRPr="0059378C">
        <w:t>a trustee must invest and manage trust assets as a prudent investor would, by considering the purposes, terms, distribution requirements, and other circumstances of the trust.</w:t>
      </w:r>
      <w:r w:rsidR="001A6DCB">
        <w:t>”</w:t>
      </w:r>
      <w:r w:rsidRPr="0059378C">
        <w:rPr>
          <w:rStyle w:val="FootnoteReference"/>
          <w:rFonts w:cs="Times New Roman"/>
        </w:rPr>
        <w:footnoteReference w:id="52"/>
      </w:r>
      <w:r w:rsidRPr="0059378C">
        <w:t xml:space="preserve">  If a trustee has additional skills or expertise, for example if a professional financial advisor or corporate trustee is serving, the trustee will be held to a higher standard given such skills and expertise.</w:t>
      </w:r>
      <w:r w:rsidRPr="0059378C">
        <w:rPr>
          <w:rStyle w:val="FootnoteReference"/>
          <w:rFonts w:cs="Times New Roman"/>
        </w:rPr>
        <w:footnoteReference w:id="53"/>
      </w:r>
    </w:p>
    <w:p w14:paraId="36E9E911" w14:textId="77777777" w:rsidR="003A0665" w:rsidRDefault="003A0665" w:rsidP="00561F7C">
      <w:pPr>
        <w:pStyle w:val="a-3rdSubHd"/>
        <w:spacing w:line="480" w:lineRule="auto"/>
      </w:pPr>
      <w:bookmarkStart w:id="22" w:name="_Toc7167189"/>
      <w:bookmarkStart w:id="23" w:name="_Toc31203584"/>
      <w:r w:rsidRPr="007E12F8">
        <w:t>5.  Duty of Impartiality</w:t>
      </w:r>
      <w:bookmarkEnd w:id="22"/>
      <w:bookmarkEnd w:id="23"/>
    </w:p>
    <w:p w14:paraId="5485B122" w14:textId="7458E268" w:rsidR="00D46CAB" w:rsidRDefault="003A0665" w:rsidP="00561F7C">
      <w:pPr>
        <w:pStyle w:val="b-bodytext"/>
        <w:spacing w:line="480" w:lineRule="auto"/>
      </w:pPr>
      <w:r w:rsidRPr="0059378C">
        <w:t>Trustees also owe a duty of impartiality to all beneficiaries of a trust.</w:t>
      </w:r>
      <w:r w:rsidRPr="0059378C">
        <w:rPr>
          <w:rStyle w:val="FootnoteReference"/>
          <w:rFonts w:cs="Times New Roman"/>
        </w:rPr>
        <w:footnoteReference w:id="54"/>
      </w:r>
      <w:r w:rsidRPr="0059378C">
        <w:t xml:space="preserve">  Texas Trust Code </w:t>
      </w:r>
      <w:r w:rsidR="009A46AE">
        <w:t>s</w:t>
      </w:r>
      <w:r w:rsidRPr="0059378C">
        <w:t>ection 117.008 provides that if a trust has two or more beneficiaries, the trustee must act impartially in investing and managing the trust assets and must take into account differing interests of the beneficiaries.</w:t>
      </w:r>
      <w:r w:rsidRPr="0059378C">
        <w:rPr>
          <w:rStyle w:val="FootnoteReference"/>
          <w:rFonts w:cs="Times New Roman"/>
        </w:rPr>
        <w:footnoteReference w:id="55"/>
      </w:r>
      <w:r w:rsidRPr="0059378C">
        <w:t xml:space="preserve">  </w:t>
      </w:r>
      <w:r w:rsidR="00D46CAB">
        <w:t xml:space="preserve">Likewise, </w:t>
      </w:r>
      <w:r w:rsidR="00D46CAB" w:rsidRPr="0059378C">
        <w:t xml:space="preserve">the Uniform Principal and Income Act states that </w:t>
      </w:r>
      <w:r w:rsidR="00D46CAB" w:rsidRPr="0059378C">
        <w:lastRenderedPageBreak/>
        <w:t xml:space="preserve">a trustee </w:t>
      </w:r>
      <w:r w:rsidR="00D46CAB">
        <w:t>“</w:t>
      </w:r>
      <w:r w:rsidR="00D46CAB" w:rsidRPr="0059378C">
        <w:t>shall administer a trust or estate impartially, based on what is fair and reasonable to all of the beneficiaries. . .</w:t>
      </w:r>
      <w:r w:rsidR="00D46CAB">
        <w:t>”</w:t>
      </w:r>
      <w:r w:rsidR="00D46CAB" w:rsidRPr="0059378C">
        <w:rPr>
          <w:rStyle w:val="FootnoteReference"/>
          <w:rFonts w:cs="Times New Roman"/>
        </w:rPr>
        <w:footnoteReference w:id="56"/>
      </w:r>
      <w:r w:rsidR="00D46CAB" w:rsidRPr="0059378C">
        <w:t xml:space="preserve">  </w:t>
      </w:r>
    </w:p>
    <w:p w14:paraId="5E70AA62" w14:textId="4EE95730" w:rsidR="003A0665" w:rsidRPr="0059378C" w:rsidRDefault="003A0665" w:rsidP="00561F7C">
      <w:pPr>
        <w:pStyle w:val="b-bodytext"/>
        <w:spacing w:line="480" w:lineRule="auto"/>
      </w:pPr>
      <w:r w:rsidRPr="0059378C">
        <w:t>This may be one of the more difficult duties</w:t>
      </w:r>
      <w:r w:rsidR="00D46CAB">
        <w:t xml:space="preserve"> for a trustee</w:t>
      </w:r>
      <w:r w:rsidRPr="0059378C">
        <w:t xml:space="preserve"> to </w:t>
      </w:r>
      <w:r w:rsidR="00D46CAB">
        <w:t>fulfill</w:t>
      </w:r>
      <w:r w:rsidRPr="0059378C">
        <w:t>, particularly if the trust is a pot trust and the trustee is also one of the beneficiaries of such trust.</w:t>
      </w:r>
      <w:r w:rsidRPr="0059378C">
        <w:rPr>
          <w:rStyle w:val="FootnoteReference"/>
          <w:rFonts w:cs="Times New Roman"/>
        </w:rPr>
        <w:footnoteReference w:id="57"/>
      </w:r>
    </w:p>
    <w:p w14:paraId="3596F246" w14:textId="38C438E7" w:rsidR="003A0665" w:rsidRPr="0059378C" w:rsidRDefault="003A0665" w:rsidP="00561F7C">
      <w:pPr>
        <w:pStyle w:val="b-bodytext"/>
        <w:spacing w:line="480" w:lineRule="auto"/>
        <w:rPr>
          <w:rFonts w:cs="Times New Roman"/>
        </w:rPr>
      </w:pPr>
      <w:r w:rsidRPr="0059378C">
        <w:t>Nevertheless, the duty of impartiality can be waived to some extent if the settlor expresses a clear intent to favor one or more beneficiaries</w:t>
      </w:r>
      <w:r w:rsidR="009A46AE">
        <w:t>,</w:t>
      </w:r>
      <w:r w:rsidRPr="0059378C">
        <w:t xml:space="preserve"> or a certain class of beneficiaries over others</w:t>
      </w:r>
      <w:commentRangeStart w:id="24"/>
      <w:r w:rsidRPr="0059378C">
        <w:t>.</w:t>
      </w:r>
      <w:r w:rsidRPr="0059378C">
        <w:rPr>
          <w:rStyle w:val="FootnoteReference"/>
          <w:rFonts w:cs="Times New Roman"/>
        </w:rPr>
        <w:footnoteReference w:id="58"/>
      </w:r>
      <w:commentRangeEnd w:id="24"/>
      <w:r w:rsidR="00D46CAB">
        <w:rPr>
          <w:rStyle w:val="CommentReference"/>
          <w:rFonts w:cs="Times New Roman"/>
        </w:rPr>
        <w:commentReference w:id="24"/>
      </w:r>
    </w:p>
    <w:p w14:paraId="7AD93A39" w14:textId="77777777" w:rsidR="003A0665" w:rsidRDefault="003A0665" w:rsidP="00561F7C">
      <w:pPr>
        <w:pStyle w:val="a-3rdSubHd"/>
        <w:spacing w:line="480" w:lineRule="auto"/>
      </w:pPr>
      <w:bookmarkStart w:id="25" w:name="_Toc7167190"/>
      <w:bookmarkStart w:id="26" w:name="_Toc31203585"/>
      <w:r w:rsidRPr="0059378C">
        <w:t>6.  Ability to Waive Certain Trustee Duties</w:t>
      </w:r>
      <w:bookmarkEnd w:id="25"/>
      <w:bookmarkEnd w:id="26"/>
    </w:p>
    <w:p w14:paraId="3D38DB54" w14:textId="71B721BB" w:rsidR="003A0665" w:rsidRPr="0059378C" w:rsidRDefault="003A0665" w:rsidP="00561F7C">
      <w:pPr>
        <w:pStyle w:val="b-bodytext"/>
        <w:spacing w:line="480" w:lineRule="auto"/>
      </w:pPr>
      <w:r w:rsidRPr="0059378C">
        <w:t>Generally, the terms of a trust agreement prevail over conflicting provisions of the Texas Trust Code, meaning that in most cases, a trust agreement can modify the duties of a trustee.</w:t>
      </w:r>
      <w:r w:rsidRPr="0059378C">
        <w:rPr>
          <w:rStyle w:val="FootnoteReference"/>
          <w:rFonts w:cs="Times New Roman"/>
        </w:rPr>
        <w:footnoteReference w:id="59"/>
      </w:r>
      <w:r w:rsidRPr="0059378C">
        <w:t xml:space="preserve"> </w:t>
      </w:r>
      <w:r w:rsidR="00C52238">
        <w:t> </w:t>
      </w:r>
      <w:r w:rsidRPr="0059378C">
        <w:t>As noted above, a trust agreement can contain provisions that limit a trustee</w:t>
      </w:r>
      <w:r w:rsidR="001A6DCB">
        <w:t>’</w:t>
      </w:r>
      <w:r w:rsidRPr="0059378C">
        <w:t>s duty of impartiality and authorize a trustee to favor one class of beneficiaries over another class or may authorize self-dealing and conflicts of interest that would otherwise constitute breaches of the trustee</w:t>
      </w:r>
      <w:r w:rsidR="001A6DCB">
        <w:t>’</w:t>
      </w:r>
      <w:r w:rsidRPr="0059378C">
        <w:t>s duty of loyalty.</w:t>
      </w:r>
      <w:r w:rsidRPr="0059378C">
        <w:rPr>
          <w:rStyle w:val="FootnoteReference"/>
          <w:rFonts w:cs="Times New Roman"/>
        </w:rPr>
        <w:footnoteReference w:id="60"/>
      </w:r>
    </w:p>
    <w:p w14:paraId="4942F6F6" w14:textId="4151C262" w:rsidR="003A0665" w:rsidRDefault="003A0665" w:rsidP="00561F7C">
      <w:pPr>
        <w:pStyle w:val="b-bodytext"/>
        <w:spacing w:line="480" w:lineRule="auto"/>
      </w:pPr>
      <w:r w:rsidRPr="0059378C">
        <w:lastRenderedPageBreak/>
        <w:t xml:space="preserve">However, Texas Trust Code </w:t>
      </w:r>
      <w:r w:rsidR="009A46AE">
        <w:t>s</w:t>
      </w:r>
      <w:r w:rsidRPr="0059378C">
        <w:t xml:space="preserve">ection 111.0035 contains certain mandatory provisions that cannot be waived and are discussed further in </w:t>
      </w:r>
      <w:r w:rsidR="009A46AE">
        <w:t>s</w:t>
      </w:r>
      <w:r w:rsidRPr="0059378C">
        <w:t>ection C.2 below.</w:t>
      </w:r>
      <w:r w:rsidRPr="0059378C">
        <w:rPr>
          <w:rStyle w:val="FootnoteReference"/>
          <w:rFonts w:cs="Times New Roman"/>
        </w:rPr>
        <w:footnoteReference w:id="61"/>
      </w:r>
    </w:p>
    <w:p w14:paraId="29092637" w14:textId="77777777" w:rsidR="003A0665" w:rsidRPr="0059378C" w:rsidRDefault="003A0665" w:rsidP="00561F7C">
      <w:pPr>
        <w:spacing w:line="480" w:lineRule="auto"/>
      </w:pPr>
    </w:p>
    <w:p w14:paraId="5F0BE691" w14:textId="77777777" w:rsidR="003A0665" w:rsidRDefault="003A0665" w:rsidP="00561F7C">
      <w:pPr>
        <w:pStyle w:val="a-2ndSubHd"/>
        <w:spacing w:before="0" w:after="0" w:line="480" w:lineRule="auto"/>
      </w:pPr>
      <w:bookmarkStart w:id="27" w:name="_Toc7167191"/>
      <w:r w:rsidRPr="0059378C">
        <w:t>C.  Sources of Authority</w:t>
      </w:r>
      <w:bookmarkEnd w:id="27"/>
    </w:p>
    <w:p w14:paraId="669939AA" w14:textId="77777777" w:rsidR="003A0665" w:rsidRPr="007E12F8" w:rsidRDefault="003A0665" w:rsidP="00561F7C">
      <w:pPr>
        <w:spacing w:line="480" w:lineRule="auto"/>
      </w:pPr>
    </w:p>
    <w:p w14:paraId="6205EABA" w14:textId="0A1191AD" w:rsidR="003A0665" w:rsidRPr="0059378C" w:rsidRDefault="003A0665" w:rsidP="00561F7C">
      <w:pPr>
        <w:pStyle w:val="b-bodytext"/>
        <w:spacing w:line="480" w:lineRule="auto"/>
        <w:rPr>
          <w:rFonts w:cs="Times New Roman"/>
        </w:rPr>
      </w:pPr>
      <w:r w:rsidRPr="0059378C">
        <w:t>There are three main sources of guidance and authority for a trustee, in the following order of priority: (1) the trust instrument, (2) the Texas Trust Code, and (3) common law.</w:t>
      </w:r>
      <w:r w:rsidRPr="0059378C">
        <w:rPr>
          <w:rStyle w:val="FootnoteReference"/>
          <w:rFonts w:cs="Times New Roman"/>
        </w:rPr>
        <w:footnoteReference w:id="62"/>
      </w:r>
    </w:p>
    <w:p w14:paraId="180AD6D6" w14:textId="77777777" w:rsidR="003A0665" w:rsidRDefault="003A0665" w:rsidP="00561F7C">
      <w:pPr>
        <w:pStyle w:val="a-3rdSubHd"/>
        <w:spacing w:line="480" w:lineRule="auto"/>
      </w:pPr>
      <w:bookmarkStart w:id="28" w:name="_Toc7167192"/>
      <w:bookmarkStart w:id="29" w:name="_Toc31203586"/>
      <w:r w:rsidRPr="0059378C">
        <w:t>1.  Trust Instrumen</w:t>
      </w:r>
      <w:bookmarkEnd w:id="28"/>
      <w:r w:rsidRPr="0059378C">
        <w:t>t</w:t>
      </w:r>
      <w:bookmarkEnd w:id="29"/>
    </w:p>
    <w:p w14:paraId="06155759" w14:textId="740BC393" w:rsidR="003A0665" w:rsidRPr="0059378C" w:rsidRDefault="003A0665" w:rsidP="00561F7C">
      <w:pPr>
        <w:pStyle w:val="b-bodytext"/>
        <w:spacing w:line="480" w:lineRule="auto"/>
      </w:pPr>
      <w:r w:rsidRPr="0059378C">
        <w:t>Generally, the terms of a trust, as set forth in the governing instrument, serve as the primary source of guidance for a trustee.</w:t>
      </w:r>
      <w:r w:rsidRPr="0059378C">
        <w:rPr>
          <w:rStyle w:val="FootnoteReference"/>
          <w:rFonts w:cs="Times New Roman"/>
        </w:rPr>
        <w:footnoteReference w:id="63"/>
      </w:r>
      <w:r w:rsidRPr="0059378C">
        <w:t xml:space="preserve">  It is well settled in Texas that the first principle of trust construction is to honor the intent of the settlor, and in determining such intent, courts first look to the text of the written instrument establishing the trust.</w:t>
      </w:r>
      <w:r w:rsidRPr="0059378C">
        <w:rPr>
          <w:rStyle w:val="FootnoteReference"/>
          <w:rFonts w:cs="Times New Roman"/>
        </w:rPr>
        <w:footnoteReference w:id="64"/>
      </w:r>
    </w:p>
    <w:p w14:paraId="7BC4A2DB" w14:textId="77777777" w:rsidR="003A0665" w:rsidRDefault="003A0665" w:rsidP="00561F7C">
      <w:pPr>
        <w:pStyle w:val="a-3rdSubHd"/>
        <w:spacing w:line="480" w:lineRule="auto"/>
      </w:pPr>
      <w:bookmarkStart w:id="30" w:name="_Toc7167193"/>
      <w:bookmarkStart w:id="31" w:name="_Toc31203587"/>
      <w:r w:rsidRPr="0059378C">
        <w:lastRenderedPageBreak/>
        <w:t>2.  Texas Trust Code</w:t>
      </w:r>
      <w:bookmarkEnd w:id="30"/>
      <w:bookmarkEnd w:id="31"/>
    </w:p>
    <w:p w14:paraId="7F31053E" w14:textId="7B6A717F" w:rsidR="003A0665" w:rsidRPr="0059378C" w:rsidRDefault="003A0665" w:rsidP="00561F7C">
      <w:pPr>
        <w:pStyle w:val="b-bodytext"/>
        <w:spacing w:line="480" w:lineRule="auto"/>
      </w:pPr>
      <w:r w:rsidRPr="0059378C">
        <w:t>To the extent that the terms of a trust instrument do not provide otherwise, the Texas Trust Code governs: (1) the duties and powers of a trustee; (2) relations among trustees; and (3) the rights and interests of the beneficiaries.</w:t>
      </w:r>
      <w:r w:rsidRPr="0059378C">
        <w:rPr>
          <w:rStyle w:val="FootnoteReference"/>
          <w:rFonts w:cs="Times New Roman"/>
        </w:rPr>
        <w:footnoteReference w:id="65"/>
      </w:r>
    </w:p>
    <w:p w14:paraId="16A30660" w14:textId="7404D039" w:rsidR="003A0665" w:rsidRPr="0059378C" w:rsidRDefault="003A0665" w:rsidP="00561F7C">
      <w:pPr>
        <w:pStyle w:val="b-bodytext"/>
        <w:spacing w:line="480" w:lineRule="auto"/>
      </w:pPr>
      <w:r w:rsidRPr="0059378C">
        <w:t>Moreover, the Texas Trust Code sets forth certain trustee duties, beneficiary rights and trust rules that cannot be waived.</w:t>
      </w:r>
      <w:r w:rsidR="00B6570A">
        <w:rPr>
          <w:rStyle w:val="FootnoteReference"/>
        </w:rPr>
        <w:footnoteReference w:id="66"/>
      </w:r>
      <w:r w:rsidRPr="0059378C">
        <w:t xml:space="preserve"> </w:t>
      </w:r>
      <w:r w:rsidR="00D3595A">
        <w:t xml:space="preserve"> </w:t>
      </w:r>
      <w:r w:rsidRPr="0059378C">
        <w:t xml:space="preserve">Texas Trust Code </w:t>
      </w:r>
      <w:r w:rsidR="00D3658D">
        <w:t>s</w:t>
      </w:r>
      <w:r w:rsidRPr="0059378C">
        <w:t>ection 111.0035(b) provides:</w:t>
      </w:r>
    </w:p>
    <w:p w14:paraId="07384541" w14:textId="36AE5072" w:rsidR="003A0665" w:rsidRPr="0059378C" w:rsidRDefault="003A0665" w:rsidP="00561F7C">
      <w:pPr>
        <w:pStyle w:val="b-bodytext"/>
        <w:spacing w:line="480" w:lineRule="auto"/>
        <w:ind w:right="420"/>
      </w:pPr>
      <w:r w:rsidRPr="0059378C">
        <w:t xml:space="preserve">The terms of a trust prevail over any provision of this subtitle, </w:t>
      </w:r>
      <w:r w:rsidR="00D3595A">
        <w:tab/>
      </w:r>
      <w:r w:rsidRPr="0059378C">
        <w:t>except that the terms of a trust may n</w:t>
      </w:r>
      <w:r w:rsidR="00D3595A">
        <w:t>ot limit:</w:t>
      </w:r>
    </w:p>
    <w:p w14:paraId="14C580D1" w14:textId="71BD2379" w:rsidR="003A0665" w:rsidRPr="0059378C" w:rsidRDefault="003A0665" w:rsidP="00561F7C">
      <w:pPr>
        <w:pStyle w:val="b-bodytext"/>
        <w:tabs>
          <w:tab w:val="left" w:pos="810"/>
        </w:tabs>
        <w:spacing w:line="480" w:lineRule="auto"/>
      </w:pPr>
      <w:r w:rsidRPr="0059378C">
        <w:t>(1)</w:t>
      </w:r>
      <w:r w:rsidR="00D3595A">
        <w:tab/>
      </w:r>
      <w:r w:rsidRPr="0059378C">
        <w:t>the requirements imposed under Section 112.03</w:t>
      </w:r>
    </w:p>
    <w:p w14:paraId="77EBA039" w14:textId="66E60C3A" w:rsidR="003A0665" w:rsidRPr="0059378C" w:rsidRDefault="003A0665" w:rsidP="00561F7C">
      <w:pPr>
        <w:pStyle w:val="b-bodytext"/>
        <w:tabs>
          <w:tab w:val="left" w:pos="810"/>
        </w:tabs>
        <w:spacing w:line="480" w:lineRule="auto"/>
        <w:ind w:right="420"/>
      </w:pPr>
      <w:r w:rsidRPr="0059378C">
        <w:t>(2)</w:t>
      </w:r>
      <w:r w:rsidR="00D3595A">
        <w:tab/>
      </w:r>
      <w:r w:rsidRPr="0059378C">
        <w:t xml:space="preserve">the applicability of Section 114.007 to the exculpation term of </w:t>
      </w:r>
      <w:r w:rsidR="00D3595A">
        <w:tab/>
      </w:r>
      <w:r w:rsidR="00D3595A">
        <w:tab/>
      </w:r>
      <w:r w:rsidRPr="0059378C">
        <w:t xml:space="preserve">a </w:t>
      </w:r>
      <w:proofErr w:type="gramStart"/>
      <w:r w:rsidRPr="0059378C">
        <w:t>trust;</w:t>
      </w:r>
      <w:proofErr w:type="gramEnd"/>
      <w:r w:rsidRPr="0059378C">
        <w:t xml:space="preserve"> </w:t>
      </w:r>
    </w:p>
    <w:p w14:paraId="256EA3CB" w14:textId="61331E0F" w:rsidR="003A0665" w:rsidRPr="0059378C" w:rsidRDefault="003A0665" w:rsidP="00561F7C">
      <w:pPr>
        <w:pStyle w:val="b-bodytext"/>
        <w:tabs>
          <w:tab w:val="left" w:pos="810"/>
        </w:tabs>
        <w:spacing w:line="480" w:lineRule="auto"/>
        <w:ind w:right="420"/>
      </w:pPr>
      <w:r w:rsidRPr="0059378C">
        <w:t>(3)</w:t>
      </w:r>
      <w:r w:rsidR="00D3595A">
        <w:tab/>
      </w:r>
      <w:r w:rsidRPr="0059378C">
        <w:t xml:space="preserve">the periods of limitation for commencing a judicial proceeding </w:t>
      </w:r>
      <w:r w:rsidR="00D3595A">
        <w:tab/>
      </w:r>
      <w:r w:rsidR="00D3595A">
        <w:tab/>
      </w:r>
      <w:r w:rsidRPr="0059378C">
        <w:t xml:space="preserve">regarding a </w:t>
      </w:r>
      <w:proofErr w:type="gramStart"/>
      <w:r w:rsidRPr="0059378C">
        <w:t>trust;</w:t>
      </w:r>
      <w:proofErr w:type="gramEnd"/>
    </w:p>
    <w:p w14:paraId="208E6A9B" w14:textId="26B21E31" w:rsidR="003A0665" w:rsidRPr="0059378C" w:rsidRDefault="003A0665" w:rsidP="00561F7C">
      <w:pPr>
        <w:pStyle w:val="b-bodytext"/>
        <w:tabs>
          <w:tab w:val="left" w:pos="810"/>
        </w:tabs>
        <w:spacing w:line="480" w:lineRule="auto"/>
      </w:pPr>
      <w:r w:rsidRPr="0059378C">
        <w:t>(4)</w:t>
      </w:r>
      <w:r w:rsidR="00D3595A">
        <w:tab/>
      </w:r>
      <w:r w:rsidRPr="0059378C">
        <w:t>a trustee</w:t>
      </w:r>
      <w:r w:rsidR="001A6DCB">
        <w:t>’</w:t>
      </w:r>
      <w:r w:rsidRPr="0059378C">
        <w:t>s duty:</w:t>
      </w:r>
    </w:p>
    <w:p w14:paraId="129C7735" w14:textId="0AF124EC" w:rsidR="003A0665" w:rsidRPr="0059378C" w:rsidRDefault="00D3595A" w:rsidP="00561F7C">
      <w:pPr>
        <w:pStyle w:val="b-bodytext"/>
        <w:tabs>
          <w:tab w:val="left" w:pos="810"/>
          <w:tab w:val="left" w:pos="1260"/>
        </w:tabs>
        <w:spacing w:line="480" w:lineRule="auto"/>
        <w:ind w:right="420"/>
      </w:pPr>
      <w:r>
        <w:tab/>
      </w:r>
      <w:r w:rsidR="003A0665" w:rsidRPr="0059378C">
        <w:t>(A)</w:t>
      </w:r>
      <w:r>
        <w:tab/>
      </w:r>
      <w:proofErr w:type="gramStart"/>
      <w:r w:rsidR="003A0665" w:rsidRPr="0059378C">
        <w:t>with regard to</w:t>
      </w:r>
      <w:proofErr w:type="gramEnd"/>
      <w:r w:rsidR="003A0665" w:rsidRPr="0059378C">
        <w:t xml:space="preserve"> an irrevocable trust, to respond to a demand </w:t>
      </w:r>
      <w:r>
        <w:tab/>
      </w:r>
      <w:r>
        <w:tab/>
      </w:r>
      <w:r>
        <w:tab/>
      </w:r>
      <w:r w:rsidR="003A0665" w:rsidRPr="0059378C">
        <w:t xml:space="preserve">for accounting made under Section 113.151 if the demand </w:t>
      </w:r>
      <w:r>
        <w:tab/>
      </w:r>
      <w:r>
        <w:tab/>
      </w:r>
      <w:r>
        <w:tab/>
      </w:r>
      <w:r w:rsidR="003A0665" w:rsidRPr="0059378C">
        <w:t>is from a beneficiary who, at the time of the demand:</w:t>
      </w:r>
    </w:p>
    <w:p w14:paraId="1795D6E4" w14:textId="4280A775" w:rsidR="003A0665" w:rsidRPr="0059378C" w:rsidRDefault="00D3595A" w:rsidP="00561F7C">
      <w:pPr>
        <w:pStyle w:val="b-bodytext"/>
        <w:tabs>
          <w:tab w:val="left" w:pos="1260"/>
          <w:tab w:val="left" w:pos="1620"/>
        </w:tabs>
        <w:spacing w:line="480" w:lineRule="auto"/>
        <w:ind w:right="420"/>
      </w:pPr>
      <w:r>
        <w:lastRenderedPageBreak/>
        <w:tab/>
      </w:r>
      <w:r w:rsidR="003A0665" w:rsidRPr="0059378C">
        <w:t>(</w:t>
      </w:r>
      <w:proofErr w:type="spellStart"/>
      <w:r w:rsidR="003A0665" w:rsidRPr="0059378C">
        <w:t>i</w:t>
      </w:r>
      <w:proofErr w:type="spellEnd"/>
      <w:r w:rsidR="003A0665" w:rsidRPr="0059378C">
        <w:t>)</w:t>
      </w:r>
      <w:r>
        <w:tab/>
      </w:r>
      <w:r w:rsidR="003A0665" w:rsidRPr="0059378C">
        <w:t xml:space="preserve">is entitled or permitted to receive distributions from </w:t>
      </w:r>
      <w:r>
        <w:tab/>
      </w:r>
      <w:r>
        <w:tab/>
      </w:r>
      <w:r>
        <w:tab/>
      </w:r>
      <w:r w:rsidR="003A0665" w:rsidRPr="0059378C">
        <w:t>the trust; or</w:t>
      </w:r>
    </w:p>
    <w:p w14:paraId="6A61A9DD" w14:textId="038920BC" w:rsidR="003A0665" w:rsidRPr="0059378C" w:rsidRDefault="00D3595A" w:rsidP="00561F7C">
      <w:pPr>
        <w:pStyle w:val="b-bodytext"/>
        <w:tabs>
          <w:tab w:val="left" w:pos="1260"/>
          <w:tab w:val="left" w:pos="1620"/>
        </w:tabs>
        <w:spacing w:line="480" w:lineRule="auto"/>
        <w:ind w:right="420"/>
      </w:pPr>
      <w:r>
        <w:tab/>
      </w:r>
      <w:r w:rsidR="003A0665" w:rsidRPr="0059378C">
        <w:t>(ii)</w:t>
      </w:r>
      <w:r>
        <w:tab/>
      </w:r>
      <w:r w:rsidR="003A0665" w:rsidRPr="0059378C">
        <w:t xml:space="preserve">would receive a distribution from the trust if the trust </w:t>
      </w:r>
      <w:r>
        <w:tab/>
      </w:r>
      <w:r>
        <w:tab/>
      </w:r>
      <w:r>
        <w:tab/>
      </w:r>
      <w:r w:rsidR="003A0665" w:rsidRPr="0059378C">
        <w:t xml:space="preserve">terminated at the time of the </w:t>
      </w:r>
      <w:proofErr w:type="gramStart"/>
      <w:r w:rsidR="003A0665" w:rsidRPr="0059378C">
        <w:t>demand;</w:t>
      </w:r>
      <w:proofErr w:type="gramEnd"/>
    </w:p>
    <w:p w14:paraId="3FBE769A" w14:textId="7DADF6AB" w:rsidR="003A0665" w:rsidRPr="0059378C" w:rsidRDefault="00D3595A" w:rsidP="00561F7C">
      <w:pPr>
        <w:pStyle w:val="b-bodytext"/>
        <w:tabs>
          <w:tab w:val="left" w:pos="810"/>
          <w:tab w:val="left" w:pos="1260"/>
        </w:tabs>
        <w:spacing w:line="480" w:lineRule="auto"/>
        <w:ind w:right="420"/>
      </w:pPr>
      <w:r>
        <w:tab/>
      </w:r>
      <w:r w:rsidR="003A0665" w:rsidRPr="0059378C">
        <w:t>(B)</w:t>
      </w:r>
      <w:r>
        <w:tab/>
      </w:r>
      <w:r w:rsidR="003A0665" w:rsidRPr="0059378C">
        <w:t xml:space="preserve">To act in good faith and in accordance with the purposes </w:t>
      </w:r>
      <w:r>
        <w:tab/>
      </w:r>
      <w:r>
        <w:tab/>
      </w:r>
      <w:r>
        <w:tab/>
      </w:r>
      <w:r w:rsidR="003A0665" w:rsidRPr="0059378C">
        <w:t>of the trust; and</w:t>
      </w:r>
    </w:p>
    <w:p w14:paraId="08D8BA54" w14:textId="265B1DAD" w:rsidR="003A0665" w:rsidRPr="0059378C" w:rsidRDefault="003A0665" w:rsidP="00561F7C">
      <w:pPr>
        <w:pStyle w:val="b-bodytext"/>
        <w:tabs>
          <w:tab w:val="left" w:pos="810"/>
        </w:tabs>
        <w:spacing w:line="480" w:lineRule="auto"/>
        <w:ind w:right="420"/>
      </w:pPr>
      <w:r w:rsidRPr="0059378C">
        <w:t>(5)</w:t>
      </w:r>
      <w:r w:rsidR="00D3595A">
        <w:tab/>
      </w:r>
      <w:r w:rsidRPr="0059378C">
        <w:t xml:space="preserve">The power of a court, in the interest of justice, to </w:t>
      </w:r>
      <w:proofErr w:type="gramStart"/>
      <w:r w:rsidRPr="0059378C">
        <w:t>take action</w:t>
      </w:r>
      <w:proofErr w:type="gramEnd"/>
      <w:r w:rsidRPr="0059378C">
        <w:t xml:space="preserve"> or </w:t>
      </w:r>
      <w:r w:rsidR="00D3595A">
        <w:tab/>
      </w:r>
      <w:r w:rsidR="00D3595A">
        <w:tab/>
      </w:r>
      <w:r w:rsidRPr="0059378C">
        <w:t>exercise jurisdiction, including the power to:</w:t>
      </w:r>
    </w:p>
    <w:p w14:paraId="7D70EDD2" w14:textId="7FF60D90" w:rsidR="003A0665" w:rsidRPr="0059378C" w:rsidRDefault="00D3595A" w:rsidP="00561F7C">
      <w:pPr>
        <w:pStyle w:val="b-bodytext"/>
        <w:tabs>
          <w:tab w:val="left" w:pos="810"/>
          <w:tab w:val="left" w:pos="1260"/>
        </w:tabs>
        <w:spacing w:line="480" w:lineRule="auto"/>
        <w:ind w:right="420"/>
      </w:pPr>
      <w:r>
        <w:tab/>
      </w:r>
      <w:r w:rsidR="003A0665" w:rsidRPr="0059378C">
        <w:t>(A)</w:t>
      </w:r>
      <w:r>
        <w:tab/>
      </w:r>
      <w:r w:rsidR="003A0665" w:rsidRPr="0059378C">
        <w:t xml:space="preserve">Modify or terminate a trust or take other action under </w:t>
      </w:r>
      <w:r>
        <w:tab/>
      </w:r>
      <w:r>
        <w:tab/>
      </w:r>
      <w:r>
        <w:tab/>
      </w:r>
      <w:r w:rsidR="003A0665" w:rsidRPr="0059378C">
        <w:t xml:space="preserve">Section </w:t>
      </w:r>
      <w:proofErr w:type="gramStart"/>
      <w:r w:rsidR="003A0665" w:rsidRPr="0059378C">
        <w:t>112.054;</w:t>
      </w:r>
      <w:proofErr w:type="gramEnd"/>
    </w:p>
    <w:p w14:paraId="7060922A" w14:textId="473390C6" w:rsidR="003A0665" w:rsidRPr="0059378C" w:rsidRDefault="00D3595A" w:rsidP="00561F7C">
      <w:pPr>
        <w:pStyle w:val="b-bodytext"/>
        <w:tabs>
          <w:tab w:val="left" w:pos="810"/>
          <w:tab w:val="left" w:pos="1260"/>
        </w:tabs>
        <w:spacing w:line="480" w:lineRule="auto"/>
      </w:pPr>
      <w:r>
        <w:tab/>
      </w:r>
      <w:r w:rsidR="003A0665" w:rsidRPr="0059378C">
        <w:t>(B)</w:t>
      </w:r>
      <w:r w:rsidR="00134833">
        <w:tab/>
      </w:r>
      <w:r w:rsidR="003A0665" w:rsidRPr="0059378C">
        <w:t xml:space="preserve">Remove a trustee under Section </w:t>
      </w:r>
      <w:proofErr w:type="gramStart"/>
      <w:r w:rsidR="003A0665" w:rsidRPr="0059378C">
        <w:t>113.082;</w:t>
      </w:r>
      <w:proofErr w:type="gramEnd"/>
    </w:p>
    <w:p w14:paraId="43D43F48" w14:textId="32FFEA24" w:rsidR="003A0665" w:rsidRPr="0059378C" w:rsidRDefault="00D3595A" w:rsidP="00561F7C">
      <w:pPr>
        <w:pStyle w:val="b-bodytext"/>
        <w:tabs>
          <w:tab w:val="left" w:pos="810"/>
          <w:tab w:val="left" w:pos="1260"/>
        </w:tabs>
        <w:spacing w:line="480" w:lineRule="auto"/>
      </w:pPr>
      <w:r>
        <w:tab/>
      </w:r>
      <w:r w:rsidR="003A0665" w:rsidRPr="0059378C">
        <w:t>C)</w:t>
      </w:r>
      <w:r w:rsidR="00134833">
        <w:tab/>
      </w:r>
      <w:r w:rsidR="003A0665" w:rsidRPr="0059378C">
        <w:t xml:space="preserve">Exercise jurisdiction under Section </w:t>
      </w:r>
      <w:proofErr w:type="gramStart"/>
      <w:r w:rsidR="003A0665" w:rsidRPr="0059378C">
        <w:t>115.001;</w:t>
      </w:r>
      <w:proofErr w:type="gramEnd"/>
    </w:p>
    <w:p w14:paraId="408C87E5" w14:textId="3CA5A291" w:rsidR="003A0665" w:rsidRPr="0059378C" w:rsidRDefault="00D3595A" w:rsidP="00561F7C">
      <w:pPr>
        <w:pStyle w:val="b-bodytext"/>
        <w:tabs>
          <w:tab w:val="left" w:pos="810"/>
          <w:tab w:val="left" w:pos="1260"/>
        </w:tabs>
        <w:spacing w:line="480" w:lineRule="auto"/>
        <w:ind w:right="420"/>
      </w:pPr>
      <w:r>
        <w:tab/>
      </w:r>
      <w:r w:rsidR="003A0665" w:rsidRPr="0059378C">
        <w:t>(D)</w:t>
      </w:r>
      <w:r w:rsidR="00134833">
        <w:tab/>
      </w:r>
      <w:r w:rsidR="003A0665" w:rsidRPr="0059378C">
        <w:t>Require, dispense with, modify, or terminate a trustee</w:t>
      </w:r>
      <w:r w:rsidR="001A6DCB">
        <w:t>’</w:t>
      </w:r>
      <w:r w:rsidR="003A0665" w:rsidRPr="0059378C">
        <w:t xml:space="preserve">s </w:t>
      </w:r>
      <w:r w:rsidR="00134833">
        <w:tab/>
      </w:r>
      <w:r w:rsidR="00134833">
        <w:tab/>
      </w:r>
      <w:r w:rsidR="00134833">
        <w:tab/>
      </w:r>
      <w:r w:rsidR="003A0665" w:rsidRPr="0059378C">
        <w:t>bond; or</w:t>
      </w:r>
    </w:p>
    <w:p w14:paraId="6A4634C1" w14:textId="5D46FA30" w:rsidR="003A0665" w:rsidRPr="0059378C" w:rsidRDefault="00134833" w:rsidP="00561F7C">
      <w:pPr>
        <w:pStyle w:val="b-bodytext"/>
        <w:tabs>
          <w:tab w:val="left" w:pos="810"/>
          <w:tab w:val="left" w:pos="1260"/>
        </w:tabs>
        <w:spacing w:line="480" w:lineRule="auto"/>
        <w:ind w:right="420"/>
      </w:pPr>
      <w:r>
        <w:tab/>
      </w:r>
      <w:r w:rsidR="003A0665" w:rsidRPr="0059378C">
        <w:t>(E)</w:t>
      </w:r>
      <w:r>
        <w:tab/>
      </w:r>
      <w:r w:rsidR="003A0665" w:rsidRPr="0059378C">
        <w:t>Adjust or deny a trustee</w:t>
      </w:r>
      <w:r w:rsidR="001A6DCB">
        <w:t>’</w:t>
      </w:r>
      <w:r w:rsidR="003A0665" w:rsidRPr="0059378C">
        <w:t xml:space="preserve">s compensation if the trustee </w:t>
      </w:r>
      <w:r>
        <w:tab/>
      </w:r>
      <w:r>
        <w:tab/>
      </w:r>
      <w:r>
        <w:tab/>
      </w:r>
      <w:r w:rsidR="003A0665" w:rsidRPr="0059378C">
        <w:t>commits a breach of trust.</w:t>
      </w:r>
      <w:r w:rsidR="003A0665" w:rsidRPr="0059378C">
        <w:rPr>
          <w:rStyle w:val="FootnoteReference"/>
          <w:rFonts w:cs="Times New Roman"/>
        </w:rPr>
        <w:footnoteReference w:id="67"/>
      </w:r>
    </w:p>
    <w:p w14:paraId="2262C4C7" w14:textId="172889C9" w:rsidR="003A0665" w:rsidRPr="0059378C" w:rsidRDefault="003A0665" w:rsidP="00561F7C">
      <w:pPr>
        <w:pStyle w:val="b-bodytext"/>
        <w:spacing w:line="480" w:lineRule="auto"/>
        <w:ind w:firstLine="0"/>
      </w:pPr>
      <w:r w:rsidRPr="0059378C">
        <w:lastRenderedPageBreak/>
        <w:t>Only if the terms of the trust are ambiguous, will a court look to extrinsic evidence, such as the facts and circumstances surrounding the formation of the trust, the actions of the settlor and the trustee in the time since the formation of the trust, and expressions of the settlor</w:t>
      </w:r>
      <w:r w:rsidR="001A6DCB">
        <w:t>’</w:t>
      </w:r>
      <w:r w:rsidRPr="0059378C">
        <w:t>s intent.</w:t>
      </w:r>
      <w:r w:rsidRPr="0059378C">
        <w:rPr>
          <w:rStyle w:val="FootnoteReference"/>
        </w:rPr>
        <w:footnoteReference w:id="68"/>
      </w:r>
    </w:p>
    <w:p w14:paraId="4223D904" w14:textId="77777777" w:rsidR="003A0665" w:rsidRDefault="003A0665" w:rsidP="00561F7C">
      <w:pPr>
        <w:pStyle w:val="a-3rdSubHd"/>
        <w:spacing w:line="480" w:lineRule="auto"/>
      </w:pPr>
      <w:bookmarkStart w:id="32" w:name="_Toc7167194"/>
      <w:bookmarkStart w:id="33" w:name="_Toc31203588"/>
      <w:r w:rsidRPr="0059378C">
        <w:t>3.  Texas Common Law</w:t>
      </w:r>
      <w:bookmarkEnd w:id="32"/>
      <w:bookmarkEnd w:id="33"/>
    </w:p>
    <w:p w14:paraId="37B555F5" w14:textId="3CE4C962" w:rsidR="003A0665" w:rsidRDefault="003A0665" w:rsidP="00561F7C">
      <w:pPr>
        <w:pStyle w:val="b-bodytext"/>
        <w:spacing w:line="480" w:lineRule="auto"/>
      </w:pPr>
      <w:r w:rsidRPr="0059378C">
        <w:t xml:space="preserve">The powers and duties of a trustee are also governed by common law to the extent the trust instrument does not validly provide otherwise, and the common law is not inconsistent with the provisions of the Texas Trust Code </w:t>
      </w:r>
      <w:r w:rsidR="00D3658D">
        <w:t>s</w:t>
      </w:r>
      <w:r w:rsidRPr="0059378C">
        <w:t xml:space="preserve">ection 113.051 provides that </w:t>
      </w:r>
      <w:r w:rsidR="001A6DCB">
        <w:t>“</w:t>
      </w:r>
      <w:r w:rsidRPr="0059378C">
        <w:t>[</w:t>
      </w:r>
      <w:proofErr w:type="spellStart"/>
      <w:r w:rsidRPr="0059378C">
        <w:t>i</w:t>
      </w:r>
      <w:proofErr w:type="spellEnd"/>
      <w:r w:rsidRPr="0059378C">
        <w:t>]n the absence of any contrary terms in the trust instrument or contrary provisions of [the Texas Trust Code], in administering the trust, the trustee shall perform all of the duties imposed on trustees by the common law.</w:t>
      </w:r>
      <w:r w:rsidR="001A6DCB">
        <w:t>”</w:t>
      </w:r>
      <w:r w:rsidRPr="0059378C">
        <w:rPr>
          <w:rStyle w:val="FootnoteReference"/>
        </w:rPr>
        <w:footnoteReference w:id="69"/>
      </w:r>
    </w:p>
    <w:p w14:paraId="5E61CC24" w14:textId="77777777" w:rsidR="003A0665" w:rsidRDefault="003A0665" w:rsidP="00561F7C">
      <w:pPr>
        <w:pStyle w:val="a-2ndSubHd"/>
        <w:spacing w:after="0" w:line="480" w:lineRule="auto"/>
      </w:pPr>
      <w:bookmarkStart w:id="34" w:name="_Toc7167195"/>
      <w:bookmarkStart w:id="35" w:name="_Toc31203589"/>
      <w:r w:rsidRPr="0059378C">
        <w:lastRenderedPageBreak/>
        <w:t>D.  Other Potential Sources</w:t>
      </w:r>
      <w:bookmarkEnd w:id="34"/>
      <w:bookmarkEnd w:id="35"/>
    </w:p>
    <w:p w14:paraId="68E16C26" w14:textId="77777777" w:rsidR="003A0665" w:rsidRPr="007E12F8" w:rsidRDefault="003A0665" w:rsidP="00561F7C">
      <w:pPr>
        <w:spacing w:line="480" w:lineRule="auto"/>
      </w:pPr>
    </w:p>
    <w:p w14:paraId="2AFEDD4D" w14:textId="77777777" w:rsidR="003A0665" w:rsidRPr="00402B58" w:rsidRDefault="003A0665" w:rsidP="00561F7C">
      <w:pPr>
        <w:pStyle w:val="a-3rdSubHd"/>
        <w:spacing w:before="0" w:after="0" w:line="480" w:lineRule="auto"/>
      </w:pPr>
      <w:bookmarkStart w:id="36" w:name="_Toc7167196"/>
      <w:bookmarkStart w:id="37" w:name="_Toc31203590"/>
      <w:r w:rsidRPr="00402B58">
        <w:rPr>
          <w:rStyle w:val="Heading3Char"/>
          <w:rFonts w:ascii="Times New Roman" w:hAnsi="Times New Roman" w:cs="Times New Roman"/>
          <w:b w:val="0"/>
          <w:bCs w:val="0"/>
          <w:sz w:val="22"/>
          <w:szCs w:val="22"/>
        </w:rPr>
        <w:t>1.  Restate</w:t>
      </w:r>
      <w:r w:rsidRPr="00402B58">
        <w:t>ment of Trusts</w:t>
      </w:r>
      <w:bookmarkEnd w:id="36"/>
      <w:bookmarkEnd w:id="37"/>
    </w:p>
    <w:p w14:paraId="0E7C913E" w14:textId="77777777" w:rsidR="003A0665" w:rsidRPr="007E12F8" w:rsidRDefault="003A0665" w:rsidP="00561F7C">
      <w:pPr>
        <w:spacing w:line="480" w:lineRule="auto"/>
      </w:pPr>
    </w:p>
    <w:p w14:paraId="5BDCA8D3" w14:textId="39F504FF" w:rsidR="003A0665" w:rsidRPr="0059378C" w:rsidRDefault="003A0665" w:rsidP="00561F7C">
      <w:pPr>
        <w:pStyle w:val="b-bodytext"/>
        <w:spacing w:line="480" w:lineRule="auto"/>
      </w:pPr>
      <w:r w:rsidRPr="0059378C">
        <w:t xml:space="preserve">Texas has not adopted the Restatement of Trusts, </w:t>
      </w:r>
      <w:r w:rsidR="00D3658D">
        <w:t xml:space="preserve">so the </w:t>
      </w:r>
      <w:proofErr w:type="gramStart"/>
      <w:r w:rsidR="00D3658D">
        <w:t xml:space="preserve">Restatement </w:t>
      </w:r>
      <w:r w:rsidRPr="0059378C">
        <w:t xml:space="preserve"> </w:t>
      </w:r>
      <w:r w:rsidR="00D3658D">
        <w:t>is</w:t>
      </w:r>
      <w:proofErr w:type="gramEnd"/>
      <w:r w:rsidR="00D3658D" w:rsidRPr="0059378C">
        <w:t xml:space="preserve"> </w:t>
      </w:r>
      <w:r w:rsidRPr="0059378C">
        <w:t>not binding in Texas.</w:t>
      </w:r>
      <w:bookmarkStart w:id="38" w:name="_Ref33804856"/>
      <w:r w:rsidR="00B6570A">
        <w:rPr>
          <w:rStyle w:val="FootnoteReference"/>
        </w:rPr>
        <w:footnoteReference w:id="70"/>
      </w:r>
      <w:bookmarkEnd w:id="38"/>
      <w:r w:rsidRPr="0059378C">
        <w:t xml:space="preserve"> </w:t>
      </w:r>
      <w:r w:rsidR="00402B58">
        <w:t> </w:t>
      </w:r>
      <w:r w:rsidRPr="0059378C">
        <w:t xml:space="preserve">Nevertheless, they still provide some guidance when construing and interpreting a trust </w:t>
      </w:r>
      <w:r w:rsidR="00D46CAB">
        <w:t xml:space="preserve">for cases in which </w:t>
      </w:r>
      <w:r w:rsidRPr="0059378C">
        <w:t xml:space="preserve"> the Restatement does not conflict with the Texas Trust Code.</w:t>
      </w:r>
      <w:r w:rsidRPr="0059378C">
        <w:rPr>
          <w:rStyle w:val="FootnoteReference"/>
        </w:rPr>
        <w:footnoteReference w:id="71"/>
      </w:r>
    </w:p>
    <w:p w14:paraId="3B45946C" w14:textId="4BF6564C" w:rsidR="003A0665" w:rsidRDefault="003A0665" w:rsidP="00561F7C">
      <w:pPr>
        <w:pStyle w:val="b-bodytext"/>
        <w:spacing w:line="480" w:lineRule="auto"/>
      </w:pPr>
      <w:r w:rsidRPr="0059378C">
        <w:t xml:space="preserve">Furthermore, as between the Restatement (Second) of Trusts and Restatement (Third) of Trusts, Texas courts have considered and cited the Restatement (Second) of Trusts in </w:t>
      </w:r>
      <w:proofErr w:type="gramStart"/>
      <w:r w:rsidRPr="0059378C">
        <w:t>a number of</w:t>
      </w:r>
      <w:proofErr w:type="gramEnd"/>
      <w:r w:rsidRPr="0059378C">
        <w:t xml:space="preserve"> decisions, but they have only cited the Restatement (Third) of Trusts three times.</w:t>
      </w:r>
      <w:r w:rsidRPr="0059378C">
        <w:rPr>
          <w:rStyle w:val="FootnoteReference"/>
        </w:rPr>
        <w:footnoteReference w:id="72"/>
      </w:r>
      <w:r w:rsidRPr="0059378C">
        <w:t xml:space="preserve">  Time will tell if or how Texas courts will view the Restatement (Third) of Trusts.</w:t>
      </w:r>
      <w:r w:rsidRPr="0059378C">
        <w:rPr>
          <w:rStyle w:val="FootnoteReference"/>
        </w:rPr>
        <w:footnoteReference w:id="73"/>
      </w:r>
    </w:p>
    <w:p w14:paraId="775BD10B" w14:textId="77777777" w:rsidR="003A0665" w:rsidRPr="0059378C" w:rsidRDefault="003A0665" w:rsidP="00561F7C">
      <w:pPr>
        <w:spacing w:line="480" w:lineRule="auto"/>
      </w:pPr>
    </w:p>
    <w:p w14:paraId="186F7CB9" w14:textId="77777777" w:rsidR="003A0665" w:rsidRDefault="003A0665" w:rsidP="00561F7C">
      <w:pPr>
        <w:pStyle w:val="a-3rdSubHd"/>
        <w:spacing w:before="0" w:after="0" w:line="480" w:lineRule="auto"/>
      </w:pPr>
      <w:bookmarkStart w:id="39" w:name="_Toc7167197"/>
      <w:bookmarkStart w:id="40" w:name="_Toc31203591"/>
      <w:r w:rsidRPr="0059378C">
        <w:lastRenderedPageBreak/>
        <w:t>2.  Uniform Trust Code</w:t>
      </w:r>
      <w:bookmarkEnd w:id="39"/>
      <w:bookmarkEnd w:id="40"/>
    </w:p>
    <w:p w14:paraId="08108413" w14:textId="77777777" w:rsidR="003A0665" w:rsidRPr="007E12F8" w:rsidRDefault="003A0665" w:rsidP="00561F7C">
      <w:pPr>
        <w:spacing w:line="480" w:lineRule="auto"/>
      </w:pPr>
    </w:p>
    <w:p w14:paraId="433C60A8" w14:textId="4E90CC13" w:rsidR="003A0665" w:rsidRPr="0059378C" w:rsidRDefault="003A0665" w:rsidP="00561F7C">
      <w:pPr>
        <w:pStyle w:val="b-bodytext"/>
        <w:spacing w:line="480" w:lineRule="auto"/>
      </w:pPr>
      <w:r w:rsidRPr="0059378C">
        <w:t>Likewise, Texas has not adopted the Uniform Trust Code (in fact legislative history indicates certain provisions of the Texas Trust Code were enacted to expressly disavow any attempts to apply certain provisions), and it has no precedential value in this state.</w:t>
      </w:r>
      <w:r w:rsidR="00B6570A">
        <w:rPr>
          <w:rStyle w:val="FootnoteReference"/>
        </w:rPr>
        <w:footnoteReference w:id="74"/>
      </w:r>
      <w:r w:rsidRPr="0059378C">
        <w:t xml:space="preserve">  Nevertheless, the Uniform Trust Code still provides some guidance when drafting, construing</w:t>
      </w:r>
      <w:r w:rsidR="00D3658D">
        <w:t>,</w:t>
      </w:r>
      <w:r w:rsidRPr="0059378C">
        <w:t xml:space="preserve"> and administering trusts.</w:t>
      </w:r>
      <w:r w:rsidRPr="0059378C">
        <w:rPr>
          <w:rStyle w:val="FootnoteReference"/>
        </w:rPr>
        <w:footnoteReference w:id="75"/>
      </w:r>
    </w:p>
    <w:p w14:paraId="7E54EDE9" w14:textId="1973A861" w:rsidR="003A0665" w:rsidRDefault="003A0665" w:rsidP="00561F7C">
      <w:pPr>
        <w:pStyle w:val="b-bodytext"/>
        <w:spacing w:line="480" w:lineRule="auto"/>
      </w:pPr>
      <w:r w:rsidRPr="0059378C">
        <w:t>Despite not having adopted the Uniform Trust Code, there are certain areas in which the Texas Trust Code and the Uniform Trust Code overlap.</w:t>
      </w:r>
      <w:r w:rsidRPr="0059378C">
        <w:rPr>
          <w:rStyle w:val="FootnoteReference"/>
        </w:rPr>
        <w:footnoteReference w:id="76"/>
      </w:r>
      <w:r w:rsidRPr="0059378C">
        <w:t xml:space="preserve">  If faced with a Texas trust question falling within one of these overlapping areas and if there is no Texas case law on point, cases on point from a UTC state may be of some value.</w:t>
      </w:r>
      <w:r w:rsidRPr="0059378C">
        <w:rPr>
          <w:rStyle w:val="FootnoteReference"/>
        </w:rPr>
        <w:footnoteReference w:id="77"/>
      </w:r>
      <w:r w:rsidRPr="0059378C">
        <w:t xml:space="preserve"> </w:t>
      </w:r>
      <w:r w:rsidR="00402B58">
        <w:t> </w:t>
      </w:r>
      <w:r w:rsidRPr="0059378C">
        <w:t>As of 2019, the Uniform Trust Code, with some variations, has been adopted by approximately thirty-three states and two more are in the process of considering adoption.</w:t>
      </w:r>
      <w:r w:rsidRPr="0059378C">
        <w:rPr>
          <w:rStyle w:val="FootnoteReference"/>
        </w:rPr>
        <w:footnoteReference w:id="78"/>
      </w:r>
    </w:p>
    <w:p w14:paraId="4E2C56AF" w14:textId="77777777" w:rsidR="003A0665" w:rsidRDefault="003A0665" w:rsidP="00561F7C">
      <w:pPr>
        <w:pStyle w:val="a-1stSubHd"/>
        <w:spacing w:line="480" w:lineRule="auto"/>
      </w:pPr>
      <w:bookmarkStart w:id="41" w:name="_Toc7167198"/>
      <w:bookmarkStart w:id="42" w:name="_Toc31203592"/>
      <w:r w:rsidRPr="0059378C">
        <w:lastRenderedPageBreak/>
        <w:t>II.  The Difference Drafting Can Make</w:t>
      </w:r>
      <w:bookmarkEnd w:id="41"/>
      <w:bookmarkEnd w:id="42"/>
    </w:p>
    <w:p w14:paraId="0EF79872" w14:textId="5C59CD66" w:rsidR="003A0665" w:rsidRDefault="003A0665" w:rsidP="00561F7C">
      <w:pPr>
        <w:pStyle w:val="b-bodytext"/>
        <w:spacing w:line="480" w:lineRule="auto"/>
      </w:pPr>
      <w:r w:rsidRPr="0059378C">
        <w:t>Since the trust agreement itself serves as the primary source of guidance in administering and interpreting the trusts established by it, it is vitally important that the document is carefully and thoughtfully drafted.</w:t>
      </w:r>
      <w:r w:rsidRPr="0059378C">
        <w:rPr>
          <w:rStyle w:val="FootnoteReference"/>
        </w:rPr>
        <w:footnoteReference w:id="79"/>
      </w:r>
    </w:p>
    <w:p w14:paraId="20676D79" w14:textId="513A4BF7" w:rsidR="003A0665" w:rsidRPr="007E12F8" w:rsidRDefault="003A0665" w:rsidP="00561F7C">
      <w:pPr>
        <w:pStyle w:val="a-2ndSubHd"/>
        <w:spacing w:line="480" w:lineRule="auto"/>
      </w:pPr>
      <w:bookmarkStart w:id="43" w:name="_Ref7157262"/>
      <w:bookmarkStart w:id="44" w:name="_Toc7167199"/>
      <w:bookmarkStart w:id="45" w:name="_Toc31203593"/>
      <w:r w:rsidRPr="0059378C">
        <w:t>A.  Personal Statement of Intent</w:t>
      </w:r>
      <w:bookmarkEnd w:id="43"/>
      <w:bookmarkEnd w:id="44"/>
      <w:bookmarkEnd w:id="45"/>
    </w:p>
    <w:p w14:paraId="2B318C41" w14:textId="1696636B" w:rsidR="003A0665" w:rsidRPr="0059378C" w:rsidRDefault="003A0665" w:rsidP="00561F7C">
      <w:pPr>
        <w:pStyle w:val="b-bodytext"/>
        <w:spacing w:line="480" w:lineRule="auto"/>
      </w:pPr>
      <w:r w:rsidRPr="0059378C">
        <w:t>The primary compass when interpreting the terms of a trust is to do so in a manner that carries out the settlor</w:t>
      </w:r>
      <w:r w:rsidR="001A6DCB">
        <w:t>’</w:t>
      </w:r>
      <w:r w:rsidRPr="0059378C">
        <w:t>s intent for creating the trust.</w:t>
      </w:r>
      <w:r w:rsidRPr="0059378C">
        <w:rPr>
          <w:rStyle w:val="FootnoteReference"/>
        </w:rPr>
        <w:footnoteReference w:id="80"/>
      </w:r>
      <w:r w:rsidRPr="0059378C">
        <w:t xml:space="preserve">  If trust terms are called into question, courts first look to the language used within the four corners of the document and construe the trust instrument to give effect to all provisions so that no provision is rendered meaningless.</w:t>
      </w:r>
      <w:r w:rsidRPr="0059378C">
        <w:rPr>
          <w:rStyle w:val="FootnoteReference"/>
        </w:rPr>
        <w:footnoteReference w:id="81"/>
      </w:r>
      <w:r w:rsidRPr="0059378C">
        <w:t xml:space="preserve">  However, in a practice area that relies so heavily on forms, this rule can lead to unintended consequences if a drafting attorney does not tailor the trust agreement to reflect each individual settlor</w:t>
      </w:r>
      <w:r w:rsidR="001A6DCB">
        <w:t>’</w:t>
      </w:r>
      <w:r w:rsidRPr="0059378C">
        <w:t>s intentions.</w:t>
      </w:r>
      <w:r w:rsidRPr="0059378C">
        <w:rPr>
          <w:rStyle w:val="FootnoteReference"/>
        </w:rPr>
        <w:footnoteReference w:id="82"/>
      </w:r>
    </w:p>
    <w:p w14:paraId="26DE57E1" w14:textId="34B1B92C" w:rsidR="003A0665" w:rsidRDefault="003A0665" w:rsidP="00561F7C">
      <w:pPr>
        <w:pStyle w:val="a-3rdSubHd"/>
        <w:spacing w:line="480" w:lineRule="auto"/>
      </w:pPr>
      <w:bookmarkStart w:id="46" w:name="_Toc7167200"/>
      <w:bookmarkStart w:id="47" w:name="_Toc31203594"/>
      <w:r w:rsidRPr="0059378C">
        <w:lastRenderedPageBreak/>
        <w:t>1.  Deeper Understanding of Settlor</w:t>
      </w:r>
      <w:r w:rsidR="001A6DCB">
        <w:t>’</w:t>
      </w:r>
      <w:r w:rsidRPr="0059378C">
        <w:t>s Rationale</w:t>
      </w:r>
      <w:bookmarkEnd w:id="46"/>
      <w:bookmarkEnd w:id="47"/>
    </w:p>
    <w:p w14:paraId="780D9F2F" w14:textId="641D688D" w:rsidR="003A0665" w:rsidRPr="0059378C" w:rsidRDefault="003A0665" w:rsidP="00561F7C">
      <w:pPr>
        <w:pStyle w:val="b-bodytext"/>
        <w:spacing w:line="480" w:lineRule="auto"/>
      </w:pPr>
      <w:r w:rsidRPr="0059378C">
        <w:t>Practically speaking, explicitly spelling out a settlor</w:t>
      </w:r>
      <w:r w:rsidR="001A6DCB">
        <w:t>’</w:t>
      </w:r>
      <w:r w:rsidRPr="0059378C">
        <w:t>s intent in the trust agreement can help a trustee and beneficiaries understand the rationale behind a trust structure or certain allowances or restrictions placed on the beneficiaries of the trust.</w:t>
      </w:r>
      <w:r w:rsidRPr="0059378C">
        <w:rPr>
          <w:rStyle w:val="FootnoteReference"/>
        </w:rPr>
        <w:footnoteReference w:id="83"/>
      </w:r>
      <w:r w:rsidRPr="0059378C">
        <w:t xml:space="preserve">  For example, an asset protection trust may contain a requirement that a corporate trustee serve at all time not because the settlor distrusted the beneficiary from serving as his own trustee, but rather to avoid loss of such protection regardless of the beneficiary</w:t>
      </w:r>
      <w:r w:rsidR="001A6DCB">
        <w:t>’</w:t>
      </w:r>
      <w:r w:rsidRPr="0059378C">
        <w:t>s domicile.</w:t>
      </w:r>
      <w:r w:rsidRPr="0059378C">
        <w:rPr>
          <w:rStyle w:val="FootnoteReference"/>
        </w:rPr>
        <w:footnoteReference w:id="84"/>
      </w:r>
    </w:p>
    <w:p w14:paraId="3DA0D240" w14:textId="6CDFA278" w:rsidR="003A0665" w:rsidRDefault="003A0665" w:rsidP="00561F7C">
      <w:pPr>
        <w:pStyle w:val="b-bodytext"/>
        <w:spacing w:line="480" w:lineRule="auto"/>
      </w:pPr>
      <w:r w:rsidRPr="0059378C">
        <w:t>An explanation of the settlor</w:t>
      </w:r>
      <w:r w:rsidR="001A6DCB">
        <w:t>’</w:t>
      </w:r>
      <w:r w:rsidRPr="0059378C">
        <w:t>s rationale may also help make the plan structure more palatable or understandable for a disgruntled beneficiary, even if the beneficiary still disagrees with such reasoning.</w:t>
      </w:r>
      <w:r w:rsidRPr="0059378C">
        <w:rPr>
          <w:rStyle w:val="FootnoteReference"/>
          <w:rFonts w:cs="Times New Roman"/>
        </w:rPr>
        <w:footnoteReference w:id="85"/>
      </w:r>
      <w:r w:rsidRPr="0059378C">
        <w:t xml:space="preserve">  For example, if the settlor-parent states that a larger portion of the trust is passing to the daughter because she </w:t>
      </w:r>
      <w:r w:rsidR="00821384">
        <w:t>reduced</w:t>
      </w:r>
      <w:r w:rsidRPr="0059378C">
        <w:t xml:space="preserve"> her </w:t>
      </w:r>
      <w:r w:rsidR="00821384">
        <w:t xml:space="preserve">work </w:t>
      </w:r>
      <w:r w:rsidRPr="0059378C">
        <w:t xml:space="preserve">hours </w:t>
      </w:r>
      <w:r w:rsidR="00821384">
        <w:t xml:space="preserve"> in order to </w:t>
      </w:r>
      <w:r w:rsidRPr="0059378C">
        <w:t xml:space="preserve"> care for her parent at the end of life, </w:t>
      </w:r>
      <w:r w:rsidR="00821384">
        <w:t>settlor-parent’s</w:t>
      </w:r>
      <w:r w:rsidRPr="0059378C">
        <w:t xml:space="preserve"> son may not like or agree with this decision, but hopefully he will be more likely to respect it.</w:t>
      </w:r>
      <w:r w:rsidRPr="0059378C">
        <w:rPr>
          <w:rStyle w:val="FootnoteReference"/>
          <w:rFonts w:cs="Times New Roman"/>
        </w:rPr>
        <w:footnoteReference w:id="86"/>
      </w:r>
      <w:r w:rsidRPr="0059378C">
        <w:t xml:space="preserve">  This not only protects and preserves the settlor</w:t>
      </w:r>
      <w:r w:rsidR="001A6DCB">
        <w:t>’</w:t>
      </w:r>
      <w:r w:rsidRPr="0059378C">
        <w:t>s intentions, but hopefully provides a shield for the estate planning attorney as well.</w:t>
      </w:r>
      <w:r w:rsidRPr="0059378C">
        <w:rPr>
          <w:rStyle w:val="FootnoteReference"/>
          <w:rFonts w:cs="Times New Roman"/>
        </w:rPr>
        <w:footnoteReference w:id="87"/>
      </w:r>
      <w:r w:rsidRPr="0059378C">
        <w:t xml:space="preserve">  In the context of a contentious family or </w:t>
      </w:r>
      <w:r w:rsidRPr="0059378C">
        <w:lastRenderedPageBreak/>
        <w:t>anticipated trust contest, an explanation of the settlor</w:t>
      </w:r>
      <w:r w:rsidR="001A6DCB">
        <w:t>’</w:t>
      </w:r>
      <w:r w:rsidRPr="0059378C">
        <w:t>s intent in his or her own words may also cut against claims of undue influence or lack of capacity and hopefully even ward off such contest claims before the courtroom.</w:t>
      </w:r>
      <w:r w:rsidRPr="0059378C">
        <w:rPr>
          <w:rStyle w:val="FootnoteReference"/>
          <w:rFonts w:cs="Times New Roman"/>
        </w:rPr>
        <w:footnoteReference w:id="88"/>
      </w:r>
      <w:r w:rsidRPr="0059378C">
        <w:t xml:space="preserve">  An example of a basic statement of intent is set forth below.</w:t>
      </w:r>
    </w:p>
    <w:p w14:paraId="203BAA4F" w14:textId="11BD28B1" w:rsidR="0063712A" w:rsidRDefault="0063712A" w:rsidP="00561F7C">
      <w:pPr>
        <w:pStyle w:val="b-bodytext"/>
        <w:spacing w:line="480" w:lineRule="auto"/>
      </w:pPr>
    </w:p>
    <w:p w14:paraId="20CECE5E" w14:textId="48839A22" w:rsidR="0063712A" w:rsidRDefault="0063712A" w:rsidP="00561F7C">
      <w:pPr>
        <w:pStyle w:val="b-bodytext"/>
        <w:spacing w:line="480" w:lineRule="auto"/>
      </w:pPr>
    </w:p>
    <w:p w14:paraId="7BBCD5BA" w14:textId="5FE657B2" w:rsidR="0063712A" w:rsidRDefault="0063712A" w:rsidP="00561F7C">
      <w:pPr>
        <w:pStyle w:val="b-bodytext"/>
        <w:spacing w:line="480" w:lineRule="auto"/>
      </w:pPr>
    </w:p>
    <w:p w14:paraId="22BF3E0E" w14:textId="49C099CC" w:rsidR="0063712A" w:rsidRDefault="0063712A" w:rsidP="00561F7C">
      <w:pPr>
        <w:pStyle w:val="b-bodytext"/>
        <w:spacing w:line="480" w:lineRule="auto"/>
      </w:pPr>
    </w:p>
    <w:p w14:paraId="7CD8F315" w14:textId="1F69627C" w:rsidR="0063712A" w:rsidRDefault="0063712A" w:rsidP="00561F7C">
      <w:pPr>
        <w:pStyle w:val="b-bodytext"/>
        <w:spacing w:line="480" w:lineRule="auto"/>
      </w:pPr>
    </w:p>
    <w:p w14:paraId="28F3EDC3" w14:textId="77777777" w:rsidR="0063712A" w:rsidRDefault="0063712A" w:rsidP="00561F7C">
      <w:pPr>
        <w:pStyle w:val="b-bodytext"/>
        <w:spacing w:line="480" w:lineRule="auto"/>
      </w:pPr>
    </w:p>
    <w:p w14:paraId="3B24EAC7" w14:textId="77777777" w:rsidR="003A0665" w:rsidRPr="0059378C" w:rsidRDefault="003A0665" w:rsidP="00561F7C">
      <w:pPr>
        <w:pStyle w:val="ListParagraph"/>
        <w:widowControl w:val="0"/>
        <w:spacing w:after="120" w:line="480" w:lineRule="auto"/>
        <w:ind w:left="0"/>
        <w:contextualSpacing w:val="0"/>
        <w:rPr>
          <w:rFonts w:cs="Times New Roman"/>
        </w:rPr>
      </w:pPr>
    </w:p>
    <w:tbl>
      <w:tblPr>
        <w:tblStyle w:val="TableGrid"/>
        <w:tblW w:w="0" w:type="auto"/>
        <w:jc w:val="center"/>
        <w:shd w:val="pct5" w:color="auto" w:fill="auto"/>
        <w:tblLook w:val="04A0" w:firstRow="1" w:lastRow="0" w:firstColumn="1" w:lastColumn="0" w:noHBand="0" w:noVBand="1"/>
      </w:tblPr>
      <w:tblGrid>
        <w:gridCol w:w="6710"/>
      </w:tblGrid>
      <w:tr w:rsidR="003A0665" w:rsidRPr="0059378C" w14:paraId="0DEB8A8B" w14:textId="77777777" w:rsidTr="00D3595A">
        <w:trPr>
          <w:jc w:val="center"/>
        </w:trPr>
        <w:tc>
          <w:tcPr>
            <w:tcW w:w="7776" w:type="dxa"/>
            <w:shd w:val="pct5" w:color="auto" w:fill="auto"/>
          </w:tcPr>
          <w:p w14:paraId="124FA55E" w14:textId="3CE1231A" w:rsidR="003A0665" w:rsidRPr="00402B58" w:rsidRDefault="003A0665" w:rsidP="00561F7C">
            <w:pPr>
              <w:pStyle w:val="ListParagraph"/>
              <w:widowControl w:val="0"/>
              <w:spacing w:line="480" w:lineRule="auto"/>
              <w:ind w:left="0"/>
              <w:contextualSpacing w:val="0"/>
              <w:jc w:val="both"/>
              <w:rPr>
                <w:rFonts w:ascii="Times New Roman" w:hAnsi="Times New Roman" w:cs="Times New Roman"/>
                <w:sz w:val="22"/>
                <w:szCs w:val="22"/>
              </w:rPr>
            </w:pPr>
            <w:r w:rsidRPr="00402B58">
              <w:rPr>
                <w:rFonts w:ascii="Times New Roman" w:hAnsi="Times New Roman" w:cs="Times New Roman"/>
                <w:b/>
                <w:i/>
                <w:sz w:val="22"/>
                <w:szCs w:val="22"/>
              </w:rPr>
              <w:t xml:space="preserve">Statement of Intent.  </w:t>
            </w:r>
            <w:r w:rsidRPr="00402B58">
              <w:rPr>
                <w:rFonts w:ascii="Times New Roman" w:hAnsi="Times New Roman" w:cs="Times New Roman"/>
                <w:sz w:val="22"/>
                <w:szCs w:val="22"/>
              </w:rPr>
              <w:t>This estate plan was formulated with the primary goal of achieving the distribution of the Settlor</w:t>
            </w:r>
            <w:r w:rsidR="001A6DCB" w:rsidRPr="00402B58">
              <w:rPr>
                <w:rFonts w:ascii="Times New Roman" w:hAnsi="Times New Roman" w:cs="Times New Roman"/>
                <w:sz w:val="22"/>
                <w:szCs w:val="22"/>
              </w:rPr>
              <w:t>’</w:t>
            </w:r>
            <w:r w:rsidRPr="00402B58">
              <w:rPr>
                <w:rFonts w:ascii="Times New Roman" w:hAnsi="Times New Roman" w:cs="Times New Roman"/>
                <w:sz w:val="22"/>
                <w:szCs w:val="22"/>
              </w:rPr>
              <w:t>s assets according to the Settlor</w:t>
            </w:r>
            <w:r w:rsidR="001A6DCB" w:rsidRPr="00402B58">
              <w:rPr>
                <w:rFonts w:ascii="Times New Roman" w:hAnsi="Times New Roman" w:cs="Times New Roman"/>
                <w:sz w:val="22"/>
                <w:szCs w:val="22"/>
              </w:rPr>
              <w:t>’</w:t>
            </w:r>
            <w:r w:rsidRPr="00402B58">
              <w:rPr>
                <w:rFonts w:ascii="Times New Roman" w:hAnsi="Times New Roman" w:cs="Times New Roman"/>
                <w:sz w:val="22"/>
                <w:szCs w:val="22"/>
              </w:rPr>
              <w:t xml:space="preserve">s desires. </w:t>
            </w:r>
            <w:r w:rsidR="00402B58">
              <w:rPr>
                <w:rFonts w:ascii="Times New Roman" w:hAnsi="Times New Roman" w:cs="Times New Roman"/>
                <w:sz w:val="22"/>
                <w:szCs w:val="22"/>
              </w:rPr>
              <w:t xml:space="preserve"> </w:t>
            </w:r>
            <w:r w:rsidRPr="00402B58">
              <w:rPr>
                <w:rFonts w:ascii="Times New Roman" w:hAnsi="Times New Roman" w:cs="Times New Roman"/>
                <w:sz w:val="22"/>
                <w:szCs w:val="22"/>
              </w:rPr>
              <w:t xml:space="preserve">The Settlor has carefully and thoughtfully worked to provide for her children and more remote descendants by means that she believes are </w:t>
            </w:r>
            <w:r w:rsidR="00402B58">
              <w:rPr>
                <w:rFonts w:ascii="Times New Roman" w:hAnsi="Times New Roman" w:cs="Times New Roman"/>
                <w:sz w:val="22"/>
                <w:szCs w:val="22"/>
              </w:rPr>
              <w:t>best suited to each individual.</w:t>
            </w:r>
          </w:p>
          <w:p w14:paraId="1487CF28" w14:textId="77777777" w:rsidR="003A0665" w:rsidRPr="00402B58" w:rsidRDefault="003A0665" w:rsidP="00561F7C">
            <w:pPr>
              <w:pStyle w:val="ListParagraph"/>
              <w:widowControl w:val="0"/>
              <w:spacing w:line="480" w:lineRule="auto"/>
              <w:ind w:left="0"/>
              <w:contextualSpacing w:val="0"/>
              <w:jc w:val="both"/>
              <w:rPr>
                <w:rFonts w:ascii="Times New Roman" w:hAnsi="Times New Roman" w:cs="Times New Roman"/>
                <w:sz w:val="22"/>
                <w:szCs w:val="22"/>
              </w:rPr>
            </w:pPr>
          </w:p>
          <w:p w14:paraId="3922FA5D" w14:textId="38BC6A57" w:rsidR="003A0665" w:rsidRPr="0059378C" w:rsidRDefault="003A0665" w:rsidP="00561F7C">
            <w:pPr>
              <w:pStyle w:val="ListParagraph"/>
              <w:widowControl w:val="0"/>
              <w:spacing w:line="480" w:lineRule="auto"/>
              <w:ind w:left="0"/>
              <w:contextualSpacing w:val="0"/>
              <w:jc w:val="both"/>
              <w:rPr>
                <w:rFonts w:cs="Times New Roman"/>
              </w:rPr>
            </w:pPr>
            <w:r w:rsidRPr="00402B58">
              <w:rPr>
                <w:rFonts w:ascii="Times New Roman" w:hAnsi="Times New Roman" w:cs="Times New Roman"/>
                <w:sz w:val="22"/>
                <w:szCs w:val="22"/>
              </w:rPr>
              <w:t xml:space="preserve">Specifically, the Settlor acknowledges that the distribution of the trust estate between her children is unequal, resulting in daughter receiving property of a greater value than her son. </w:t>
            </w:r>
            <w:r w:rsidR="00402B58">
              <w:rPr>
                <w:rFonts w:ascii="Times New Roman" w:hAnsi="Times New Roman" w:cs="Times New Roman"/>
                <w:sz w:val="22"/>
                <w:szCs w:val="22"/>
              </w:rPr>
              <w:t xml:space="preserve"> </w:t>
            </w:r>
            <w:r w:rsidRPr="00402B58">
              <w:rPr>
                <w:rFonts w:ascii="Times New Roman" w:hAnsi="Times New Roman" w:cs="Times New Roman"/>
                <w:sz w:val="22"/>
                <w:szCs w:val="22"/>
              </w:rPr>
              <w:t xml:space="preserve">This should not be taken as an </w:t>
            </w:r>
            <w:r w:rsidRPr="00402B58">
              <w:rPr>
                <w:rFonts w:ascii="Times New Roman" w:hAnsi="Times New Roman" w:cs="Times New Roman"/>
                <w:sz w:val="22"/>
                <w:szCs w:val="22"/>
              </w:rPr>
              <w:lastRenderedPageBreak/>
              <w:t>indication of the Settlor</w:t>
            </w:r>
            <w:r w:rsidR="001A6DCB" w:rsidRPr="00402B58">
              <w:rPr>
                <w:rFonts w:ascii="Times New Roman" w:hAnsi="Times New Roman" w:cs="Times New Roman"/>
                <w:sz w:val="22"/>
                <w:szCs w:val="22"/>
              </w:rPr>
              <w:t>’</w:t>
            </w:r>
            <w:r w:rsidRPr="00402B58">
              <w:rPr>
                <w:rFonts w:ascii="Times New Roman" w:hAnsi="Times New Roman" w:cs="Times New Roman"/>
                <w:sz w:val="22"/>
                <w:szCs w:val="22"/>
              </w:rPr>
              <w:t xml:space="preserve">s trust or affection. </w:t>
            </w:r>
            <w:r w:rsidR="00402B58">
              <w:rPr>
                <w:rFonts w:ascii="Times New Roman" w:hAnsi="Times New Roman" w:cs="Times New Roman"/>
                <w:sz w:val="22"/>
                <w:szCs w:val="22"/>
              </w:rPr>
              <w:t xml:space="preserve"> </w:t>
            </w:r>
            <w:r w:rsidRPr="00402B58">
              <w:rPr>
                <w:rFonts w:ascii="Times New Roman" w:hAnsi="Times New Roman" w:cs="Times New Roman"/>
                <w:sz w:val="22"/>
                <w:szCs w:val="22"/>
              </w:rPr>
              <w:t>Rather, the property allocated to daughter</w:t>
            </w:r>
            <w:r w:rsidR="001A6DCB" w:rsidRPr="00402B58">
              <w:rPr>
                <w:rFonts w:ascii="Times New Roman" w:hAnsi="Times New Roman" w:cs="Times New Roman"/>
                <w:sz w:val="22"/>
                <w:szCs w:val="22"/>
              </w:rPr>
              <w:t>’</w:t>
            </w:r>
            <w:r w:rsidRPr="00402B58">
              <w:rPr>
                <w:rFonts w:ascii="Times New Roman" w:hAnsi="Times New Roman" w:cs="Times New Roman"/>
                <w:sz w:val="22"/>
                <w:szCs w:val="22"/>
              </w:rPr>
              <w:t>s share consists primarily of real estate which the Settlor</w:t>
            </w:r>
            <w:r w:rsidR="001A6DCB" w:rsidRPr="00402B58">
              <w:rPr>
                <w:rFonts w:ascii="Times New Roman" w:hAnsi="Times New Roman" w:cs="Times New Roman"/>
                <w:sz w:val="22"/>
                <w:szCs w:val="22"/>
              </w:rPr>
              <w:t>’</w:t>
            </w:r>
            <w:r w:rsidRPr="00402B58">
              <w:rPr>
                <w:rFonts w:ascii="Times New Roman" w:hAnsi="Times New Roman" w:cs="Times New Roman"/>
                <w:sz w:val="22"/>
                <w:szCs w:val="22"/>
              </w:rPr>
              <w:t>s daughter has helped manage during the Settlor</w:t>
            </w:r>
            <w:r w:rsidR="001A6DCB" w:rsidRPr="00402B58">
              <w:rPr>
                <w:rFonts w:ascii="Times New Roman" w:hAnsi="Times New Roman" w:cs="Times New Roman"/>
                <w:sz w:val="22"/>
                <w:szCs w:val="22"/>
              </w:rPr>
              <w:t>’</w:t>
            </w:r>
            <w:r w:rsidRPr="00402B58">
              <w:rPr>
                <w:rFonts w:ascii="Times New Roman" w:hAnsi="Times New Roman" w:cs="Times New Roman"/>
                <w:sz w:val="22"/>
                <w:szCs w:val="22"/>
              </w:rPr>
              <w:t xml:space="preserve">s lifetime and which requires additional work to maintain and sell. </w:t>
            </w:r>
            <w:r w:rsidR="00402B58">
              <w:rPr>
                <w:rFonts w:ascii="Times New Roman" w:hAnsi="Times New Roman" w:cs="Times New Roman"/>
                <w:sz w:val="22"/>
                <w:szCs w:val="22"/>
              </w:rPr>
              <w:t xml:space="preserve"> </w:t>
            </w:r>
            <w:r w:rsidRPr="00402B58">
              <w:rPr>
                <w:rFonts w:ascii="Times New Roman" w:hAnsi="Times New Roman" w:cs="Times New Roman"/>
                <w:sz w:val="22"/>
                <w:szCs w:val="22"/>
              </w:rPr>
              <w:t>On the other hand, the Settlor</w:t>
            </w:r>
            <w:r w:rsidR="001A6DCB" w:rsidRPr="00402B58">
              <w:rPr>
                <w:rFonts w:ascii="Times New Roman" w:hAnsi="Times New Roman" w:cs="Times New Roman"/>
                <w:sz w:val="22"/>
                <w:szCs w:val="22"/>
              </w:rPr>
              <w:t>’</w:t>
            </w:r>
            <w:r w:rsidRPr="00402B58">
              <w:rPr>
                <w:rFonts w:ascii="Times New Roman" w:hAnsi="Times New Roman" w:cs="Times New Roman"/>
                <w:sz w:val="22"/>
                <w:szCs w:val="22"/>
              </w:rPr>
              <w:t xml:space="preserve">s son has taken a different career path and has not expressed any interest in real estate management. </w:t>
            </w:r>
            <w:r w:rsidR="00402B58">
              <w:rPr>
                <w:rFonts w:ascii="Times New Roman" w:hAnsi="Times New Roman" w:cs="Times New Roman"/>
                <w:sz w:val="22"/>
                <w:szCs w:val="22"/>
              </w:rPr>
              <w:t xml:space="preserve"> </w:t>
            </w:r>
            <w:r w:rsidRPr="00402B58">
              <w:rPr>
                <w:rFonts w:ascii="Times New Roman" w:hAnsi="Times New Roman" w:cs="Times New Roman"/>
                <w:sz w:val="22"/>
                <w:szCs w:val="22"/>
              </w:rPr>
              <w:t>Therefore, the property allocated to son</w:t>
            </w:r>
            <w:r w:rsidR="001A6DCB" w:rsidRPr="00402B58">
              <w:rPr>
                <w:rFonts w:ascii="Times New Roman" w:hAnsi="Times New Roman" w:cs="Times New Roman"/>
                <w:sz w:val="22"/>
                <w:szCs w:val="22"/>
              </w:rPr>
              <w:t>’</w:t>
            </w:r>
            <w:r w:rsidRPr="00402B58">
              <w:rPr>
                <w:rFonts w:ascii="Times New Roman" w:hAnsi="Times New Roman" w:cs="Times New Roman"/>
                <w:sz w:val="22"/>
                <w:szCs w:val="22"/>
              </w:rPr>
              <w:t>s share consists primarily of cash and securities.</w:t>
            </w:r>
          </w:p>
        </w:tc>
      </w:tr>
    </w:tbl>
    <w:p w14:paraId="3B608E6E" w14:textId="77777777" w:rsidR="003A0665" w:rsidRDefault="003A0665" w:rsidP="00561F7C">
      <w:pPr>
        <w:pStyle w:val="a-3rdSubHd"/>
        <w:spacing w:line="480" w:lineRule="auto"/>
      </w:pPr>
      <w:bookmarkStart w:id="48" w:name="_Toc7167201"/>
      <w:bookmarkStart w:id="49" w:name="_Toc31203595"/>
      <w:r w:rsidRPr="007E12F8">
        <w:lastRenderedPageBreak/>
        <w:t>2.  Provides Guidance in Interpreting Certain Language</w:t>
      </w:r>
      <w:bookmarkEnd w:id="48"/>
      <w:bookmarkEnd w:id="49"/>
    </w:p>
    <w:p w14:paraId="260BEC32" w14:textId="4ACB8505" w:rsidR="003A0665" w:rsidRDefault="003A0665" w:rsidP="00561F7C">
      <w:pPr>
        <w:pStyle w:val="b-bodytext"/>
        <w:spacing w:line="480" w:lineRule="auto"/>
      </w:pPr>
      <w:r w:rsidRPr="0059378C">
        <w:t>Even in harmonious families, a statement of intent can provide guidance to both trustees and beneficiaries.</w:t>
      </w:r>
      <w:r w:rsidRPr="0059378C">
        <w:rPr>
          <w:rStyle w:val="FootnoteReference"/>
        </w:rPr>
        <w:footnoteReference w:id="89"/>
      </w:r>
      <w:r w:rsidRPr="0059378C">
        <w:t xml:space="preserve">  </w:t>
      </w:r>
      <w:r w:rsidR="005E371E">
        <w:t>For example, r</w:t>
      </w:r>
      <w:r w:rsidRPr="0059378C">
        <w:t xml:space="preserve">ather than set forth strict requirements to encourage a beneficiary to certain behaviors ( </w:t>
      </w:r>
      <w:r w:rsidR="001A6DCB">
        <w:t>“</w:t>
      </w:r>
      <w:r w:rsidRPr="0059378C">
        <w:t>Trustee may distribute trust income and principal up to, but not exceeding, the beneficiary</w:t>
      </w:r>
      <w:r w:rsidR="001A6DCB">
        <w:t>’</w:t>
      </w:r>
      <w:r w:rsidRPr="0059378C">
        <w:t>s annual salary</w:t>
      </w:r>
      <w:r w:rsidR="001A6DCB">
        <w:t>”</w:t>
      </w:r>
      <w:r w:rsidRPr="0059378C">
        <w:t xml:space="preserve">), a statement of intent can  educate a trustee and beneficiary insofar as what </w:t>
      </w:r>
      <w:r w:rsidR="005E371E">
        <w:t xml:space="preserve">the settlor believes </w:t>
      </w:r>
      <w:r w:rsidRPr="0059378C">
        <w:t xml:space="preserve">should be considered </w:t>
      </w:r>
      <w:r w:rsidR="001A6DCB">
        <w:t>“</w:t>
      </w:r>
      <w:r w:rsidRPr="0059378C">
        <w:t>maintenance and support.</w:t>
      </w:r>
      <w:r w:rsidR="001A6DCB">
        <w:t>”</w:t>
      </w:r>
      <w:r w:rsidRPr="0059378C">
        <w:rPr>
          <w:rStyle w:val="FootnoteReference"/>
        </w:rPr>
        <w:footnoteReference w:id="90"/>
      </w:r>
      <w:r w:rsidRPr="0059378C">
        <w:t xml:space="preserve">  An example is set forth below.</w:t>
      </w:r>
    </w:p>
    <w:p w14:paraId="50BDB120" w14:textId="77777777" w:rsidR="00402B58" w:rsidRPr="0059378C" w:rsidRDefault="00402B58" w:rsidP="00561F7C">
      <w:pPr>
        <w:pStyle w:val="b-bodytext"/>
        <w:spacing w:line="480" w:lineRule="auto"/>
      </w:pPr>
    </w:p>
    <w:tbl>
      <w:tblPr>
        <w:tblStyle w:val="TableGrid"/>
        <w:tblW w:w="0" w:type="auto"/>
        <w:jc w:val="center"/>
        <w:shd w:val="pct5" w:color="auto" w:fill="auto"/>
        <w:tblLook w:val="04A0" w:firstRow="1" w:lastRow="0" w:firstColumn="1" w:lastColumn="0" w:noHBand="0" w:noVBand="1"/>
      </w:tblPr>
      <w:tblGrid>
        <w:gridCol w:w="6710"/>
      </w:tblGrid>
      <w:tr w:rsidR="003A0665" w:rsidRPr="0059378C" w14:paraId="31EC2EA9" w14:textId="77777777" w:rsidTr="00D3595A">
        <w:trPr>
          <w:jc w:val="center"/>
        </w:trPr>
        <w:tc>
          <w:tcPr>
            <w:tcW w:w="7321" w:type="dxa"/>
            <w:shd w:val="pct5" w:color="auto" w:fill="auto"/>
          </w:tcPr>
          <w:p w14:paraId="3270F177" w14:textId="20B1F1AE" w:rsidR="003A0665" w:rsidRPr="00402B58" w:rsidRDefault="003A0665" w:rsidP="00561F7C">
            <w:pPr>
              <w:spacing w:line="480" w:lineRule="auto"/>
              <w:jc w:val="both"/>
              <w:rPr>
                <w:rFonts w:ascii="Times New Roman" w:hAnsi="Times New Roman" w:cs="Times New Roman"/>
                <w:sz w:val="22"/>
                <w:szCs w:val="22"/>
              </w:rPr>
            </w:pPr>
            <w:r w:rsidRPr="00402B58">
              <w:rPr>
                <w:rFonts w:ascii="Times New Roman" w:hAnsi="Times New Roman" w:cs="Times New Roman"/>
                <w:b/>
                <w:i/>
                <w:sz w:val="22"/>
                <w:szCs w:val="22"/>
              </w:rPr>
              <w:t>Factors for Trustee Consideration</w:t>
            </w:r>
            <w:r w:rsidRPr="00402B58">
              <w:rPr>
                <w:rFonts w:ascii="Times New Roman" w:hAnsi="Times New Roman" w:cs="Times New Roman"/>
                <w:sz w:val="22"/>
                <w:szCs w:val="22"/>
              </w:rPr>
              <w:t xml:space="preserve">. Settlor intends or </w:t>
            </w:r>
            <w:r w:rsidR="001F7E84">
              <w:rPr>
                <w:rFonts w:ascii="Times New Roman" w:hAnsi="Times New Roman" w:cs="Times New Roman"/>
                <w:sz w:val="22"/>
                <w:szCs w:val="22"/>
              </w:rPr>
              <w:t>the</w:t>
            </w:r>
            <w:r w:rsidRPr="00402B58">
              <w:rPr>
                <w:rFonts w:ascii="Times New Roman" w:hAnsi="Times New Roman" w:cs="Times New Roman"/>
                <w:sz w:val="22"/>
                <w:szCs w:val="22"/>
              </w:rPr>
              <w:t xml:space="preserve"> beneficiary to maintain a career and not to primarily rely on trust distributions</w:t>
            </w:r>
            <w:r w:rsidR="001F7E84">
              <w:rPr>
                <w:rFonts w:ascii="Times New Roman" w:hAnsi="Times New Roman" w:cs="Times New Roman"/>
                <w:sz w:val="22"/>
                <w:szCs w:val="22"/>
              </w:rPr>
              <w:t xml:space="preserve"> for living </w:t>
            </w:r>
            <w:r w:rsidR="001F7E84">
              <w:rPr>
                <w:rFonts w:ascii="Times New Roman" w:hAnsi="Times New Roman" w:cs="Times New Roman"/>
                <w:sz w:val="22"/>
                <w:szCs w:val="22"/>
              </w:rPr>
              <w:lastRenderedPageBreak/>
              <w:t>expenses</w:t>
            </w:r>
            <w:r w:rsidRPr="00402B58">
              <w:rPr>
                <w:rFonts w:ascii="Times New Roman" w:hAnsi="Times New Roman" w:cs="Times New Roman"/>
                <w:sz w:val="22"/>
                <w:szCs w:val="22"/>
              </w:rPr>
              <w:t>. I</w:t>
            </w:r>
            <w:r w:rsidR="001F7E84">
              <w:rPr>
                <w:rFonts w:ascii="Times New Roman" w:hAnsi="Times New Roman" w:cs="Times New Roman"/>
                <w:sz w:val="22"/>
                <w:szCs w:val="22"/>
              </w:rPr>
              <w:t>f the beneficiary is maintaining a career</w:t>
            </w:r>
            <w:r w:rsidRPr="00402B58">
              <w:rPr>
                <w:rFonts w:ascii="Times New Roman" w:hAnsi="Times New Roman" w:cs="Times New Roman"/>
                <w:sz w:val="22"/>
                <w:szCs w:val="22"/>
              </w:rPr>
              <w:t xml:space="preserve">, the trustee should interpret </w:t>
            </w:r>
            <w:r w:rsidR="001A6DCB" w:rsidRPr="00402B58">
              <w:rPr>
                <w:rFonts w:ascii="Times New Roman" w:hAnsi="Times New Roman" w:cs="Times New Roman"/>
                <w:sz w:val="22"/>
                <w:szCs w:val="22"/>
              </w:rPr>
              <w:t>“</w:t>
            </w:r>
            <w:r w:rsidRPr="00402B58">
              <w:rPr>
                <w:rFonts w:ascii="Times New Roman" w:hAnsi="Times New Roman" w:cs="Times New Roman"/>
                <w:sz w:val="22"/>
                <w:szCs w:val="22"/>
              </w:rPr>
              <w:t>maintenance</w:t>
            </w:r>
            <w:r w:rsidR="001A6DCB" w:rsidRPr="00402B58">
              <w:rPr>
                <w:rFonts w:ascii="Times New Roman" w:hAnsi="Times New Roman" w:cs="Times New Roman"/>
                <w:sz w:val="22"/>
                <w:szCs w:val="22"/>
              </w:rPr>
              <w:t>”</w:t>
            </w:r>
            <w:r w:rsidRPr="00402B58">
              <w:rPr>
                <w:rFonts w:ascii="Times New Roman" w:hAnsi="Times New Roman" w:cs="Times New Roman"/>
                <w:sz w:val="22"/>
                <w:szCs w:val="22"/>
              </w:rPr>
              <w:t xml:space="preserve"> and </w:t>
            </w:r>
            <w:r w:rsidR="001A6DCB" w:rsidRPr="00402B58">
              <w:rPr>
                <w:rFonts w:ascii="Times New Roman" w:hAnsi="Times New Roman" w:cs="Times New Roman"/>
                <w:sz w:val="22"/>
                <w:szCs w:val="22"/>
              </w:rPr>
              <w:t>“</w:t>
            </w:r>
            <w:r w:rsidRPr="00402B58">
              <w:rPr>
                <w:rFonts w:ascii="Times New Roman" w:hAnsi="Times New Roman" w:cs="Times New Roman"/>
                <w:sz w:val="22"/>
                <w:szCs w:val="22"/>
              </w:rPr>
              <w:t>support</w:t>
            </w:r>
            <w:r w:rsidR="001A6DCB" w:rsidRPr="00402B58">
              <w:rPr>
                <w:rFonts w:ascii="Times New Roman" w:hAnsi="Times New Roman" w:cs="Times New Roman"/>
                <w:sz w:val="22"/>
                <w:szCs w:val="22"/>
              </w:rPr>
              <w:t>”</w:t>
            </w:r>
            <w:r w:rsidRPr="00402B58">
              <w:rPr>
                <w:rFonts w:ascii="Times New Roman" w:hAnsi="Times New Roman" w:cs="Times New Roman"/>
                <w:sz w:val="22"/>
                <w:szCs w:val="22"/>
              </w:rPr>
              <w:t xml:space="preserve"> liberally to allow the beneficiary to supplement his or her lifestyle. </w:t>
            </w:r>
            <w:r w:rsidR="008A5667">
              <w:rPr>
                <w:rFonts w:ascii="Times New Roman" w:hAnsi="Times New Roman" w:cs="Times New Roman"/>
                <w:sz w:val="22"/>
                <w:szCs w:val="22"/>
              </w:rPr>
              <w:t xml:space="preserve"> </w:t>
            </w:r>
            <w:r w:rsidRPr="00402B58">
              <w:rPr>
                <w:rFonts w:ascii="Times New Roman" w:hAnsi="Times New Roman" w:cs="Times New Roman"/>
                <w:sz w:val="22"/>
                <w:szCs w:val="22"/>
              </w:rPr>
              <w:t xml:space="preserve">If a beneficiary fails to </w:t>
            </w:r>
            <w:r w:rsidR="001F7E84">
              <w:rPr>
                <w:rFonts w:ascii="Times New Roman" w:hAnsi="Times New Roman" w:cs="Times New Roman"/>
                <w:sz w:val="22"/>
                <w:szCs w:val="22"/>
              </w:rPr>
              <w:t>hold a job so that</w:t>
            </w:r>
            <w:r w:rsidRPr="00402B58">
              <w:rPr>
                <w:rFonts w:ascii="Times New Roman" w:hAnsi="Times New Roman" w:cs="Times New Roman"/>
                <w:sz w:val="22"/>
                <w:szCs w:val="22"/>
              </w:rPr>
              <w:t xml:space="preserve"> trust distributions are the beneficiary</w:t>
            </w:r>
            <w:r w:rsidR="001A6DCB" w:rsidRPr="00402B58">
              <w:rPr>
                <w:rFonts w:ascii="Times New Roman" w:hAnsi="Times New Roman" w:cs="Times New Roman"/>
                <w:sz w:val="22"/>
                <w:szCs w:val="22"/>
              </w:rPr>
              <w:t>’</w:t>
            </w:r>
            <w:r w:rsidRPr="00402B58">
              <w:rPr>
                <w:rFonts w:ascii="Times New Roman" w:hAnsi="Times New Roman" w:cs="Times New Roman"/>
                <w:sz w:val="22"/>
                <w:szCs w:val="22"/>
              </w:rPr>
              <w:t xml:space="preserve">s primary or sole source of support, the settlor recommends that the trustee construe the terms </w:t>
            </w:r>
            <w:r w:rsidR="001A6DCB" w:rsidRPr="00402B58">
              <w:rPr>
                <w:rFonts w:ascii="Times New Roman" w:hAnsi="Times New Roman" w:cs="Times New Roman"/>
                <w:sz w:val="22"/>
                <w:szCs w:val="22"/>
              </w:rPr>
              <w:t>“</w:t>
            </w:r>
            <w:r w:rsidRPr="00402B58">
              <w:rPr>
                <w:rFonts w:ascii="Times New Roman" w:hAnsi="Times New Roman" w:cs="Times New Roman"/>
                <w:sz w:val="22"/>
                <w:szCs w:val="22"/>
              </w:rPr>
              <w:t>maintenance</w:t>
            </w:r>
            <w:r w:rsidR="001A6DCB" w:rsidRPr="00402B58">
              <w:rPr>
                <w:rFonts w:ascii="Times New Roman" w:hAnsi="Times New Roman" w:cs="Times New Roman"/>
                <w:sz w:val="22"/>
                <w:szCs w:val="22"/>
              </w:rPr>
              <w:t>”</w:t>
            </w:r>
            <w:r w:rsidRPr="00402B58">
              <w:rPr>
                <w:rFonts w:ascii="Times New Roman" w:hAnsi="Times New Roman" w:cs="Times New Roman"/>
                <w:sz w:val="22"/>
                <w:szCs w:val="22"/>
              </w:rPr>
              <w:t xml:space="preserve"> and </w:t>
            </w:r>
            <w:r w:rsidR="001A6DCB" w:rsidRPr="00402B58">
              <w:rPr>
                <w:rFonts w:ascii="Times New Roman" w:hAnsi="Times New Roman" w:cs="Times New Roman"/>
                <w:sz w:val="22"/>
                <w:szCs w:val="22"/>
              </w:rPr>
              <w:t>“</w:t>
            </w:r>
            <w:r w:rsidRPr="00402B58">
              <w:rPr>
                <w:rFonts w:ascii="Times New Roman" w:hAnsi="Times New Roman" w:cs="Times New Roman"/>
                <w:sz w:val="22"/>
                <w:szCs w:val="22"/>
              </w:rPr>
              <w:t>support</w:t>
            </w:r>
            <w:r w:rsidR="001A6DCB" w:rsidRPr="00402B58">
              <w:rPr>
                <w:rFonts w:ascii="Times New Roman" w:hAnsi="Times New Roman" w:cs="Times New Roman"/>
                <w:sz w:val="22"/>
                <w:szCs w:val="22"/>
              </w:rPr>
              <w:t>”</w:t>
            </w:r>
            <w:r w:rsidRPr="00402B58">
              <w:rPr>
                <w:rFonts w:ascii="Times New Roman" w:hAnsi="Times New Roman" w:cs="Times New Roman"/>
                <w:sz w:val="22"/>
                <w:szCs w:val="22"/>
              </w:rPr>
              <w:t xml:space="preserve"> strictly to cover only the bare necessities. </w:t>
            </w:r>
          </w:p>
        </w:tc>
      </w:tr>
    </w:tbl>
    <w:p w14:paraId="4CC6C75C" w14:textId="77777777" w:rsidR="003A0665" w:rsidRPr="0059378C" w:rsidRDefault="003A0665" w:rsidP="00561F7C">
      <w:pPr>
        <w:spacing w:line="480" w:lineRule="auto"/>
      </w:pPr>
    </w:p>
    <w:p w14:paraId="00DAF695" w14:textId="77777777" w:rsidR="003A0665" w:rsidRDefault="003A0665" w:rsidP="00561F7C">
      <w:pPr>
        <w:pStyle w:val="a-2ndSubHd"/>
        <w:spacing w:before="0" w:after="0" w:line="480" w:lineRule="auto"/>
        <w:rPr>
          <w:iCs/>
        </w:rPr>
      </w:pPr>
      <w:bookmarkStart w:id="50" w:name="_Toc7167202"/>
      <w:bookmarkStart w:id="51" w:name="_Toc31203596"/>
      <w:r w:rsidRPr="007E12F8">
        <w:t>B.</w:t>
      </w:r>
      <w:r>
        <w:t xml:space="preserve">  </w:t>
      </w:r>
      <w:r w:rsidRPr="007E12F8">
        <w:t>Show Me the Money — Distribution Standards</w:t>
      </w:r>
      <w:bookmarkEnd w:id="50"/>
      <w:bookmarkEnd w:id="51"/>
    </w:p>
    <w:p w14:paraId="6B3263A7" w14:textId="77777777" w:rsidR="003A0665" w:rsidRPr="007E12F8" w:rsidRDefault="003A0665" w:rsidP="00561F7C">
      <w:pPr>
        <w:spacing w:line="480" w:lineRule="auto"/>
      </w:pPr>
    </w:p>
    <w:p w14:paraId="07260059" w14:textId="17F5E28E" w:rsidR="003A0665" w:rsidRPr="0059378C" w:rsidRDefault="005E371E" w:rsidP="00561F7C">
      <w:pPr>
        <w:pStyle w:val="b-bodytext"/>
        <w:spacing w:line="480" w:lineRule="auto"/>
      </w:pPr>
      <w:r>
        <w:t>Since d</w:t>
      </w:r>
      <w:r w:rsidR="003A0665" w:rsidRPr="0059378C">
        <w:t xml:space="preserve">istribution standards determine when and how much property is paid from a trust, </w:t>
      </w:r>
      <w:r>
        <w:t>these provisions</w:t>
      </w:r>
      <w:r w:rsidR="003A0665" w:rsidRPr="0059378C">
        <w:t xml:space="preserve"> may be the most closely read and highly scrutinized provisions of a trust agreement.</w:t>
      </w:r>
      <w:r w:rsidR="003A0665" w:rsidRPr="0059378C">
        <w:rPr>
          <w:rStyle w:val="FootnoteReference"/>
        </w:rPr>
        <w:footnoteReference w:id="91"/>
      </w:r>
      <w:r w:rsidR="003A0665" w:rsidRPr="0059378C">
        <w:t xml:space="preserve">  Some standards are clear on their face (</w:t>
      </w:r>
      <w:r w:rsidR="001A6DCB">
        <w:t>“</w:t>
      </w:r>
      <w:r w:rsidR="003A0665" w:rsidRPr="0059378C">
        <w:t>Trustee shall distribute 3% of trust property at least annually</w:t>
      </w:r>
      <w:r w:rsidR="001A6DCB">
        <w:t>”</w:t>
      </w:r>
      <w:r w:rsidR="003A0665" w:rsidRPr="0059378C">
        <w:t>) whereas others leave room for discretion (</w:t>
      </w:r>
      <w:r w:rsidR="001A6DCB">
        <w:t>“</w:t>
      </w:r>
      <w:r w:rsidR="003A0665" w:rsidRPr="0059378C">
        <w:t>Trustee may distribute trust net income and principal, or both to or for the beneficiary as the trustee determines, in such trustee</w:t>
      </w:r>
      <w:r w:rsidR="001A6DCB">
        <w:t>’</w:t>
      </w:r>
      <w:r w:rsidR="003A0665" w:rsidRPr="0059378C">
        <w:t>s sole and absolute discretion.</w:t>
      </w:r>
      <w:r w:rsidR="001A6DCB">
        <w:t>”</w:t>
      </w:r>
      <w:r w:rsidR="003A0665" w:rsidRPr="0059378C">
        <w:t>).</w:t>
      </w:r>
      <w:r w:rsidR="003A0665" w:rsidRPr="0059378C">
        <w:rPr>
          <w:rStyle w:val="FootnoteReference"/>
        </w:rPr>
        <w:footnoteReference w:id="92"/>
      </w:r>
    </w:p>
    <w:p w14:paraId="7C45D670" w14:textId="188E170A" w:rsidR="003A0665" w:rsidRPr="0059378C" w:rsidRDefault="003A0665" w:rsidP="00561F7C">
      <w:pPr>
        <w:pStyle w:val="b-bodytext"/>
        <w:spacing w:line="480" w:lineRule="auto"/>
      </w:pPr>
      <w:r w:rsidRPr="0059378C">
        <w:t xml:space="preserve">Understanding how trustees are likely to interpret distribution standards, as well as the extent of information gathering and record-keeping </w:t>
      </w:r>
      <w:proofErr w:type="gramStart"/>
      <w:r w:rsidRPr="0059378C">
        <w:t>involved</w:t>
      </w:r>
      <w:r w:rsidR="005E371E">
        <w:t xml:space="preserve"> </w:t>
      </w:r>
      <w:r w:rsidRPr="0059378C">
        <w:t xml:space="preserve"> </w:t>
      </w:r>
      <w:r w:rsidRPr="0059378C">
        <w:lastRenderedPageBreak/>
        <w:t>for</w:t>
      </w:r>
      <w:proofErr w:type="gramEnd"/>
      <w:r w:rsidRPr="0059378C">
        <w:t xml:space="preserve"> the trustee</w:t>
      </w:r>
      <w:r w:rsidR="005E371E">
        <w:t xml:space="preserve"> to be able to properly interpret such standards</w:t>
      </w:r>
      <w:r w:rsidRPr="0059378C">
        <w:t>, allows clients to make informed decisions about the standard to include in any given trust.</w:t>
      </w:r>
      <w:r w:rsidRPr="0059378C">
        <w:rPr>
          <w:rStyle w:val="FootnoteReference"/>
        </w:rPr>
        <w:footnoteReference w:id="93"/>
      </w:r>
      <w:r w:rsidRPr="0059378C">
        <w:t xml:space="preserve">  The choice of a word or phrase could make a significant difference in the amount of trust property distributed.</w:t>
      </w:r>
      <w:r w:rsidRPr="0059378C">
        <w:rPr>
          <w:rStyle w:val="FootnoteReference"/>
        </w:rPr>
        <w:footnoteReference w:id="94"/>
      </w:r>
    </w:p>
    <w:p w14:paraId="1E4072D0" w14:textId="77777777" w:rsidR="003A0665" w:rsidRDefault="003A0665" w:rsidP="00561F7C">
      <w:pPr>
        <w:pStyle w:val="a-3rdSubHd"/>
        <w:spacing w:line="480" w:lineRule="auto"/>
      </w:pPr>
      <w:bookmarkStart w:id="52" w:name="_Toc7167203"/>
      <w:bookmarkStart w:id="53" w:name="_Toc31203597"/>
      <w:r w:rsidRPr="007E12F8">
        <w:t>1.  Mandatory Income Distributions</w:t>
      </w:r>
      <w:bookmarkEnd w:id="52"/>
      <w:bookmarkEnd w:id="53"/>
    </w:p>
    <w:p w14:paraId="607CCF10" w14:textId="4F01185C" w:rsidR="003A0665" w:rsidRDefault="003A0665" w:rsidP="00561F7C">
      <w:pPr>
        <w:pStyle w:val="b-bodytext"/>
        <w:spacing w:line="480" w:lineRule="auto"/>
      </w:pPr>
      <w:r w:rsidRPr="0059378C">
        <w:t>Within the range of distribution standards, mandatory distribution standards involve the least trustee discretion, but even then, such discretion exists</w:t>
      </w:r>
      <w:r w:rsidR="001F7E84">
        <w:t>. I</w:t>
      </w:r>
      <w:r w:rsidRPr="0059378C">
        <w:t>t is simply more nuanced.</w:t>
      </w:r>
      <w:bookmarkStart w:id="54" w:name="_Ref33805468"/>
      <w:r w:rsidRPr="0059378C">
        <w:rPr>
          <w:rStyle w:val="FootnoteReference"/>
        </w:rPr>
        <w:footnoteReference w:id="95"/>
      </w:r>
      <w:bookmarkEnd w:id="54"/>
    </w:p>
    <w:p w14:paraId="10B31287" w14:textId="517721BA" w:rsidR="003A0665" w:rsidRPr="007E12F8" w:rsidRDefault="003A0665" w:rsidP="00561F7C">
      <w:pPr>
        <w:pStyle w:val="a-4thSubHead"/>
        <w:spacing w:line="480" w:lineRule="auto"/>
      </w:pPr>
      <w:bookmarkStart w:id="55" w:name="_Toc31203598"/>
      <w:r w:rsidRPr="007E12F8">
        <w:t>a.  Trust Investments</w:t>
      </w:r>
      <w:bookmarkEnd w:id="55"/>
    </w:p>
    <w:p w14:paraId="40DA8E06" w14:textId="48E22B8A" w:rsidR="003A0665" w:rsidRDefault="003A0665" w:rsidP="00561F7C">
      <w:pPr>
        <w:pStyle w:val="b-bodytext"/>
        <w:spacing w:line="480" w:lineRule="auto"/>
      </w:pPr>
      <w:r w:rsidRPr="0059378C">
        <w:t>Section 117.003(b) of the Texas Uniform Prudent Investor Act (</w:t>
      </w:r>
      <w:r w:rsidR="001A6DCB">
        <w:t>“</w:t>
      </w:r>
      <w:r w:rsidRPr="0059378C">
        <w:t>UPIA</w:t>
      </w:r>
      <w:r w:rsidR="001A6DCB">
        <w:t>”</w:t>
      </w:r>
      <w:r w:rsidRPr="0059378C">
        <w:t xml:space="preserve">), found in Chapter 117 of the Texas Trust Code, states that the prudent investor rule </w:t>
      </w:r>
      <w:r w:rsidR="001A6DCB">
        <w:t>“</w:t>
      </w:r>
      <w:r w:rsidRPr="0059378C">
        <w:t>may be expanded, restricted, eliminated, or otherwise altered by the provisions of a trust.</w:t>
      </w:r>
      <w:r w:rsidR="001A6DCB">
        <w:t>”</w:t>
      </w:r>
      <w:r w:rsidRPr="0059378C">
        <w:rPr>
          <w:rStyle w:val="FootnoteReference"/>
        </w:rPr>
        <w:footnoteReference w:id="96"/>
      </w:r>
      <w:r w:rsidRPr="0059378C">
        <w:t xml:space="preserve">  However, unless the trust agreement specifically provides for this, the general rule is that </w:t>
      </w:r>
      <w:r w:rsidR="001A6DCB">
        <w:t>“</w:t>
      </w:r>
      <w:r w:rsidRPr="0059378C">
        <w:t xml:space="preserve">a trustee who invests and manages trust assets owes a duty to the beneficiaries of the trust to </w:t>
      </w:r>
      <w:r w:rsidRPr="0059378C">
        <w:lastRenderedPageBreak/>
        <w:t>comply with the prudent investor rule . . .</w:t>
      </w:r>
      <w:r w:rsidR="001A6DCB">
        <w:t>”</w:t>
      </w:r>
      <w:r w:rsidRPr="0059378C">
        <w:rPr>
          <w:rStyle w:val="FootnoteReference"/>
        </w:rPr>
        <w:footnoteReference w:id="97"/>
      </w:r>
      <w:r w:rsidRPr="0059378C">
        <w:t xml:space="preserve">  Most notably, the Texas UPIA requires that the trustee must invest for </w:t>
      </w:r>
      <w:r w:rsidR="001A6DCB">
        <w:t>“</w:t>
      </w:r>
      <w:r w:rsidRPr="0059378C">
        <w:t>total return</w:t>
      </w:r>
      <w:r w:rsidR="001A6DCB">
        <w:t>”</w:t>
      </w:r>
      <w:r w:rsidRPr="0059378C">
        <w:t xml:space="preserve"> and cannot invest solely for the purpose of generating accounting income to then distribute to the income beneficiary of a mandatory income distribution trust.</w:t>
      </w:r>
      <w:r w:rsidRPr="0059378C">
        <w:rPr>
          <w:rStyle w:val="FootnoteReference"/>
        </w:rPr>
        <w:footnoteReference w:id="98"/>
      </w:r>
    </w:p>
    <w:p w14:paraId="318314EC" w14:textId="781052CA" w:rsidR="003A0665" w:rsidRDefault="005E371E" w:rsidP="00561F7C">
      <w:pPr>
        <w:pStyle w:val="b-bodytext"/>
        <w:spacing w:line="480" w:lineRule="auto"/>
      </w:pPr>
      <w:r>
        <w:t>As noted in [</w:t>
      </w:r>
      <w:r>
        <w:rPr>
          <w:b/>
          <w:bCs/>
        </w:rPr>
        <w:t xml:space="preserve">SECTION ABOVE RE: DUTY OF LOYALTY], </w:t>
      </w:r>
      <w:r>
        <w:t>t</w:t>
      </w:r>
      <w:r w:rsidR="003A0665" w:rsidRPr="0059378C">
        <w:t>he trustee</w:t>
      </w:r>
      <w:r w:rsidR="001A6DCB">
        <w:t>’</w:t>
      </w:r>
      <w:r w:rsidR="003A0665" w:rsidRPr="0059378C">
        <w:t xml:space="preserve">s fiduciary duty of impartiality is particularly relevant in terms of trust investments as the trustee is directed to </w:t>
      </w:r>
      <w:r w:rsidR="001A6DCB">
        <w:t>“</w:t>
      </w:r>
      <w:r w:rsidR="003A0665" w:rsidRPr="0059378C">
        <w:t>act impartially in investing and managing the trust assets, taking into account any differing interests of the beneficiaries</w:t>
      </w:r>
      <w:r w:rsidR="001A6DCB">
        <w:t>”</w:t>
      </w:r>
      <w:r w:rsidR="003A0665" w:rsidRPr="0059378C">
        <w:t xml:space="preserve"> for any trusts with two or more beneficiaries.</w:t>
      </w:r>
      <w:r w:rsidR="003A0665" w:rsidRPr="0059378C">
        <w:rPr>
          <w:rStyle w:val="FootnoteReference"/>
        </w:rPr>
        <w:footnoteReference w:id="99"/>
      </w:r>
      <w:r w:rsidR="003A0665" w:rsidRPr="0059378C">
        <w:t xml:space="preserve">  This includes substantially all trusts given that the </w:t>
      </w:r>
      <w:r w:rsidR="001A6DCB">
        <w:t>“</w:t>
      </w:r>
      <w:r w:rsidR="003A0665" w:rsidRPr="0059378C">
        <w:t>two or more beneficiaries</w:t>
      </w:r>
      <w:r w:rsidR="001A6DCB">
        <w:t>”</w:t>
      </w:r>
      <w:r w:rsidR="003A0665" w:rsidRPr="0059378C">
        <w:t xml:space="preserve"> includes beneficiaries in succession (such as remainder beneficiaries) as well as simultaneous beneficiaries (such as multiple current income beneficiaries).</w:t>
      </w:r>
      <w:r w:rsidR="003A0665" w:rsidRPr="0059378C">
        <w:rPr>
          <w:rStyle w:val="FootnoteReference"/>
        </w:rPr>
        <w:footnoteReference w:id="100"/>
      </w:r>
    </w:p>
    <w:p w14:paraId="322A3648" w14:textId="5552A986" w:rsidR="003A0665" w:rsidRPr="0059378C" w:rsidRDefault="003A0665" w:rsidP="00561F7C">
      <w:pPr>
        <w:pStyle w:val="b-bodytext"/>
        <w:spacing w:line="480" w:lineRule="auto"/>
      </w:pPr>
      <w:r w:rsidRPr="0059378C">
        <w:t>Therefore, if a settlor wishes to use a mandatory distribution standard and favor a current income beneficiary, the trust agreement needs to explicitly exempt the trustee from this UPIA requirement.</w:t>
      </w:r>
      <w:r w:rsidRPr="0059378C">
        <w:rPr>
          <w:rStyle w:val="FootnoteReference"/>
        </w:rPr>
        <w:footnoteReference w:id="101"/>
      </w:r>
    </w:p>
    <w:p w14:paraId="18714991" w14:textId="77777777" w:rsidR="003A0665" w:rsidRDefault="003A0665" w:rsidP="00561F7C">
      <w:pPr>
        <w:pStyle w:val="a-4thSubHead"/>
        <w:spacing w:line="480" w:lineRule="auto"/>
      </w:pPr>
      <w:bookmarkStart w:id="56" w:name="_Toc31203599"/>
      <w:r w:rsidRPr="0059378C">
        <w:lastRenderedPageBreak/>
        <w:t>b.  Allocation Between Income and Principal</w:t>
      </w:r>
      <w:bookmarkEnd w:id="56"/>
    </w:p>
    <w:p w14:paraId="5E83680B" w14:textId="58824132" w:rsidR="003A0665" w:rsidRPr="0059378C" w:rsidRDefault="003A0665" w:rsidP="00561F7C">
      <w:pPr>
        <w:pStyle w:val="b-bodytext"/>
        <w:spacing w:line="480" w:lineRule="auto"/>
      </w:pPr>
      <w:r w:rsidRPr="0059378C">
        <w:t>The terms of the trust, and to the extent addressed, the Uniform Principal and Income Act (UPAIA) found in Chapter 116 of the Texas Trust Code, as well as common law principles, govern allocations of receipts and disbursements between income and principal.</w:t>
      </w:r>
      <w:r w:rsidRPr="0059378C">
        <w:rPr>
          <w:rStyle w:val="FootnoteReference"/>
        </w:rPr>
        <w:footnoteReference w:id="102"/>
      </w:r>
    </w:p>
    <w:p w14:paraId="723B620F" w14:textId="398D1F8D" w:rsidR="003A0665" w:rsidRPr="0059378C" w:rsidRDefault="003A0665" w:rsidP="00561F7C">
      <w:pPr>
        <w:pStyle w:val="b-bodytext"/>
        <w:spacing w:line="480" w:lineRule="auto"/>
      </w:pPr>
      <w:r w:rsidRPr="0059378C">
        <w:t>To determine trust accounting income, cash receipts and disbursements must be allocated between principal and income.</w:t>
      </w:r>
      <w:r w:rsidRPr="0059378C">
        <w:rPr>
          <w:rStyle w:val="FootnoteReference"/>
        </w:rPr>
        <w:footnoteReference w:id="103"/>
      </w:r>
      <w:r w:rsidRPr="0059378C">
        <w:t xml:space="preserve">  These allocations are mandated by the trust itself, and trust law, and failure to make them will likely result in improper distributions.</w:t>
      </w:r>
      <w:r w:rsidRPr="0059378C">
        <w:rPr>
          <w:rStyle w:val="FootnoteReference"/>
        </w:rPr>
        <w:footnoteReference w:id="104"/>
      </w:r>
      <w:r w:rsidRPr="0059378C">
        <w:t xml:space="preserve">  If neither the terms of the trust nor the UPAIA provide a rule for allocating a receipt or disbursement to income or principal, such receipt or disbursement shall be allocated to principal.</w:t>
      </w:r>
      <w:r w:rsidRPr="0059378C">
        <w:rPr>
          <w:rStyle w:val="FootnoteReference"/>
        </w:rPr>
        <w:footnoteReference w:id="105"/>
      </w:r>
    </w:p>
    <w:p w14:paraId="5557B7A1" w14:textId="2FD967B5" w:rsidR="003A0665" w:rsidRPr="0059378C" w:rsidRDefault="003A0665" w:rsidP="00561F7C">
      <w:pPr>
        <w:pStyle w:val="b-bodytext"/>
        <w:spacing w:line="480" w:lineRule="auto"/>
      </w:pPr>
      <w:r w:rsidRPr="0059378C">
        <w:t>Even if the trust instrument grants the trustee discretion in allocating receipts and disbursements, such discretion cannot be exercised arbitrarily.</w:t>
      </w:r>
      <w:r w:rsidRPr="0059378C">
        <w:rPr>
          <w:rStyle w:val="FootnoteReference"/>
        </w:rPr>
        <w:footnoteReference w:id="106"/>
      </w:r>
      <w:r w:rsidRPr="0059378C">
        <w:t xml:space="preserve">  For one, in exercising its discretion to make allocations between income and principal, a trustee must act impartially and based on what is fair and reasonable to all of the beneficiaries, except to the extent that the terms of the trust or the will clearly manifest an intention that the fiduciary shall or may </w:t>
      </w:r>
      <w:r w:rsidRPr="0059378C">
        <w:lastRenderedPageBreak/>
        <w:t>favor one or more of the beneficiaries.</w:t>
      </w:r>
      <w:r w:rsidRPr="0059378C">
        <w:rPr>
          <w:rStyle w:val="FootnoteReference"/>
        </w:rPr>
        <w:footnoteReference w:id="107"/>
      </w:r>
      <w:r w:rsidRPr="0059378C">
        <w:t xml:space="preserve">  An allocation made in accordance with the provisions of the UPAIA will be presumed to be fair and reasonable to all beneficiaries.</w:t>
      </w:r>
      <w:r w:rsidRPr="0059378C">
        <w:rPr>
          <w:rStyle w:val="FootnoteReference"/>
        </w:rPr>
        <w:footnoteReference w:id="108"/>
      </w:r>
      <w:r w:rsidRPr="0059378C">
        <w:t xml:space="preserve">  </w:t>
      </w:r>
      <w:commentRangeStart w:id="57"/>
      <w:commentRangeEnd w:id="57"/>
      <w:r w:rsidR="00230AF9">
        <w:rPr>
          <w:rStyle w:val="CommentReference"/>
          <w:rFonts w:cs="Times New Roman"/>
        </w:rPr>
        <w:commentReference w:id="57"/>
      </w:r>
      <w:r w:rsidRPr="0059378C">
        <w:t>A trustee must be prepared to explain the basis for all allocations of principal and income to beneficiaries.</w:t>
      </w:r>
      <w:r w:rsidRPr="0059378C">
        <w:rPr>
          <w:rStyle w:val="FootnoteReference"/>
        </w:rPr>
        <w:footnoteReference w:id="109"/>
      </w:r>
    </w:p>
    <w:p w14:paraId="212C79D3" w14:textId="77777777" w:rsidR="003A0665" w:rsidRPr="008A5667" w:rsidRDefault="003A0665" w:rsidP="00561F7C">
      <w:pPr>
        <w:pStyle w:val="a-4thSubHead"/>
        <w:spacing w:line="480" w:lineRule="auto"/>
        <w:rPr>
          <w:rStyle w:val="Heading4Char"/>
          <w:b w:val="0"/>
          <w:iCs/>
          <w:sz w:val="22"/>
          <w:szCs w:val="22"/>
        </w:rPr>
      </w:pPr>
      <w:bookmarkStart w:id="58" w:name="_Toc31203600"/>
      <w:r w:rsidRPr="008A5667">
        <w:rPr>
          <w:rStyle w:val="Heading4Char"/>
          <w:b w:val="0"/>
          <w:iCs/>
          <w:sz w:val="22"/>
          <w:szCs w:val="22"/>
        </w:rPr>
        <w:t>c.  Power to Adjust</w:t>
      </w:r>
      <w:bookmarkEnd w:id="58"/>
    </w:p>
    <w:p w14:paraId="3A888144" w14:textId="0B6E32E8" w:rsidR="003A0665" w:rsidRPr="0059378C" w:rsidRDefault="003A0665" w:rsidP="00561F7C">
      <w:pPr>
        <w:pStyle w:val="b-bodytext"/>
        <w:spacing w:line="480" w:lineRule="auto"/>
        <w:rPr>
          <w:i/>
        </w:rPr>
      </w:pPr>
      <w:r w:rsidRPr="008A5667">
        <w:rPr>
          <w:rStyle w:val="Heading4Char"/>
          <w:b w:val="0"/>
          <w:sz w:val="22"/>
          <w:szCs w:val="22"/>
        </w:rPr>
        <w:t>Texas Trust Code Section 116.005 authorizes a trustee to adjust between principal and income if the trustee is in compliance with the prudent investor rule, the trust provides for distributions to a beneficiary by reference to the trust</w:t>
      </w:r>
      <w:r w:rsidR="001A6DCB" w:rsidRPr="008A5667">
        <w:rPr>
          <w:rStyle w:val="Heading4Char"/>
          <w:b w:val="0"/>
          <w:sz w:val="22"/>
          <w:szCs w:val="22"/>
        </w:rPr>
        <w:t>’</w:t>
      </w:r>
      <w:r w:rsidRPr="008A5667">
        <w:rPr>
          <w:rStyle w:val="Heading4Char"/>
          <w:b w:val="0"/>
          <w:sz w:val="22"/>
          <w:szCs w:val="22"/>
        </w:rPr>
        <w:t xml:space="preserve">s </w:t>
      </w:r>
      <w:r w:rsidR="001A6DCB" w:rsidRPr="008A5667">
        <w:rPr>
          <w:rStyle w:val="Heading4Char"/>
          <w:b w:val="0"/>
          <w:sz w:val="22"/>
          <w:szCs w:val="22"/>
        </w:rPr>
        <w:t>“</w:t>
      </w:r>
      <w:r w:rsidRPr="008A5667">
        <w:rPr>
          <w:rStyle w:val="Heading4Char"/>
          <w:b w:val="0"/>
          <w:sz w:val="22"/>
          <w:szCs w:val="22"/>
        </w:rPr>
        <w:t>income</w:t>
      </w:r>
      <w:r w:rsidR="001A6DCB" w:rsidRPr="008A5667">
        <w:rPr>
          <w:rStyle w:val="Heading4Char"/>
          <w:b w:val="0"/>
          <w:sz w:val="22"/>
          <w:szCs w:val="22"/>
        </w:rPr>
        <w:t>”</w:t>
      </w:r>
      <w:r w:rsidRPr="008A5667">
        <w:rPr>
          <w:rStyle w:val="Heading4Char"/>
          <w:b w:val="0"/>
          <w:sz w:val="22"/>
          <w:szCs w:val="22"/>
        </w:rPr>
        <w:t xml:space="preserve"> and the trustee cannot otherwise administer the trust impartially, based on what is fair and reasonable to all of the beneficiaries.</w:t>
      </w:r>
      <w:r w:rsidRPr="008A5667">
        <w:rPr>
          <w:rStyle w:val="FootnoteReference"/>
          <w:rFonts w:eastAsiaTheme="majorEastAsia"/>
          <w:iCs/>
        </w:rPr>
        <w:footnoteReference w:id="110"/>
      </w:r>
      <w:r w:rsidRPr="008A5667">
        <w:rPr>
          <w:rStyle w:val="Heading4Char"/>
          <w:b w:val="0"/>
          <w:sz w:val="22"/>
          <w:szCs w:val="22"/>
        </w:rPr>
        <w:t xml:space="preserve"> </w:t>
      </w:r>
      <w:r w:rsidR="008A5667">
        <w:rPr>
          <w:rStyle w:val="Heading4Char"/>
          <w:b w:val="0"/>
          <w:sz w:val="22"/>
          <w:szCs w:val="22"/>
        </w:rPr>
        <w:t xml:space="preserve"> </w:t>
      </w:r>
      <w:r w:rsidRPr="008A5667">
        <w:rPr>
          <w:rStyle w:val="Heading4Char"/>
          <w:b w:val="0"/>
          <w:sz w:val="22"/>
          <w:szCs w:val="22"/>
        </w:rPr>
        <w:t xml:space="preserve">The power to adjust specifically includes </w:t>
      </w:r>
      <w:r w:rsidR="001A6DCB" w:rsidRPr="008A5667">
        <w:rPr>
          <w:rStyle w:val="Heading4Char"/>
          <w:b w:val="0"/>
          <w:sz w:val="22"/>
          <w:szCs w:val="22"/>
        </w:rPr>
        <w:t>“</w:t>
      </w:r>
      <w:r w:rsidRPr="008A5667">
        <w:rPr>
          <w:rStyle w:val="Heading4Char"/>
          <w:b w:val="0"/>
          <w:sz w:val="22"/>
          <w:szCs w:val="22"/>
        </w:rPr>
        <w:t>the power to allocate all or part of a capital gain to trust income.</w:t>
      </w:r>
      <w:r w:rsidR="001A6DCB" w:rsidRPr="008A5667">
        <w:rPr>
          <w:rStyle w:val="Heading4Char"/>
          <w:b w:val="0"/>
          <w:sz w:val="22"/>
          <w:szCs w:val="22"/>
        </w:rPr>
        <w:t>”</w:t>
      </w:r>
      <w:r w:rsidRPr="008A5667">
        <w:rPr>
          <w:rStyle w:val="FootnoteReference"/>
          <w:rFonts w:eastAsiaTheme="majorEastAsia"/>
          <w:iCs/>
        </w:rPr>
        <w:footnoteReference w:id="111"/>
      </w:r>
      <w:r w:rsidRPr="008A5667">
        <w:rPr>
          <w:rStyle w:val="Heading4Char"/>
          <w:b w:val="0"/>
          <w:sz w:val="22"/>
          <w:szCs w:val="22"/>
        </w:rPr>
        <w:t xml:space="preserve"> </w:t>
      </w:r>
      <w:r w:rsidR="008A5667">
        <w:rPr>
          <w:rStyle w:val="Heading4Char"/>
          <w:b w:val="0"/>
          <w:sz w:val="22"/>
          <w:szCs w:val="22"/>
        </w:rPr>
        <w:t xml:space="preserve"> </w:t>
      </w:r>
      <w:r w:rsidRPr="008A5667">
        <w:rPr>
          <w:rStyle w:val="Heading4Char"/>
          <w:b w:val="0"/>
          <w:sz w:val="22"/>
          <w:szCs w:val="22"/>
        </w:rPr>
        <w:t>This section lists nine factors that a trustee shall consider in deciding whether or how to exercise the power to adjust and prohibits a trustee from making an adjustment under certain circumstances</w:t>
      </w:r>
      <w:r w:rsidRPr="008A5667">
        <w:t>.</w:t>
      </w:r>
      <w:r w:rsidRPr="0059378C">
        <w:rPr>
          <w:rStyle w:val="FootnoteReference"/>
          <w:iCs/>
        </w:rPr>
        <w:footnoteReference w:id="112"/>
      </w:r>
    </w:p>
    <w:p w14:paraId="5B075E6A" w14:textId="4EB3028F" w:rsidR="003A0665" w:rsidRPr="0059378C" w:rsidRDefault="003A0665" w:rsidP="00561F7C">
      <w:pPr>
        <w:pStyle w:val="b-bodytext"/>
        <w:spacing w:line="480" w:lineRule="auto"/>
      </w:pPr>
      <w:r w:rsidRPr="0059378C">
        <w:lastRenderedPageBreak/>
        <w:t>A court may not change a trustee</w:t>
      </w:r>
      <w:r w:rsidR="001A6DCB">
        <w:t>’</w:t>
      </w:r>
      <w:r w:rsidRPr="0059378C">
        <w:t xml:space="preserve">s decision to exercise or not exercise the power to adjust </w:t>
      </w:r>
      <w:r w:rsidR="001A6DCB">
        <w:t>“</w:t>
      </w:r>
      <w:r w:rsidRPr="0059378C">
        <w:t>unless the court determines that the decision was an abuse of the trustee</w:t>
      </w:r>
      <w:r w:rsidR="001A6DCB">
        <w:t>’</w:t>
      </w:r>
      <w:r w:rsidRPr="0059378C">
        <w:t>s discretion.</w:t>
      </w:r>
      <w:r w:rsidR="001A6DCB">
        <w:t>”</w:t>
      </w:r>
      <w:r w:rsidRPr="0059378C">
        <w:rPr>
          <w:rStyle w:val="FootnoteReference"/>
        </w:rPr>
        <w:footnoteReference w:id="113"/>
      </w:r>
      <w:r w:rsidRPr="0059378C">
        <w:t xml:space="preserve">  If a court determines that a trustee has abused its discretion, the court may place the income and remainder beneficiaries in the positions that they would have occupied if the discretion had not been abused.</w:t>
      </w:r>
      <w:r w:rsidRPr="0059378C">
        <w:rPr>
          <w:rStyle w:val="FootnoteReference"/>
        </w:rPr>
        <w:footnoteReference w:id="114"/>
      </w:r>
      <w:r w:rsidRPr="0059378C">
        <w:t xml:space="preserve">  If the trustee reasonably believes that one or more beneficiaries will object to the exercise of a discretionary power, the trustee may petition the court to determine whether the proposed discretionary act will result in an abuse of the trustee</w:t>
      </w:r>
      <w:r w:rsidR="001A6DCB">
        <w:t>’</w:t>
      </w:r>
      <w:r w:rsidRPr="0059378C">
        <w:t>s discretion.</w:t>
      </w:r>
      <w:r w:rsidRPr="0059378C">
        <w:rPr>
          <w:rStyle w:val="FootnoteReference"/>
        </w:rPr>
        <w:footnoteReference w:id="115"/>
      </w:r>
      <w:r w:rsidRPr="0059378C">
        <w:t xml:space="preserve">  In such a suit, the trustee is directed to advance from the trust principal all costs incident to the judicial determination, including attorney</w:t>
      </w:r>
      <w:r w:rsidR="001A6DCB">
        <w:t>’</w:t>
      </w:r>
      <w:r w:rsidRPr="0059378C">
        <w:t>s fees of the trustee, of any beneficiary who is a party, and any guardian ad litem.</w:t>
      </w:r>
      <w:r w:rsidRPr="0059378C">
        <w:rPr>
          <w:rStyle w:val="FootnoteReference"/>
        </w:rPr>
        <w:footnoteReference w:id="116"/>
      </w:r>
      <w:r w:rsidRPr="0059378C">
        <w:t xml:space="preserve">  At the conclusion of the proceeding, however the court may award costs and attorney</w:t>
      </w:r>
      <w:r w:rsidR="001A6DCB">
        <w:t>’</w:t>
      </w:r>
      <w:r w:rsidRPr="0059378C">
        <w:t xml:space="preserve">s fees as the court deems to be </w:t>
      </w:r>
      <w:r w:rsidR="001A6DCB">
        <w:t>“</w:t>
      </w:r>
      <w:r w:rsidRPr="0059378C">
        <w:t>equitable and just</w:t>
      </w:r>
      <w:r w:rsidR="001A6DCB">
        <w:t>”</w:t>
      </w:r>
      <w:r w:rsidRPr="0059378C">
        <w:t xml:space="preserve"> as provided in </w:t>
      </w:r>
      <w:r w:rsidR="000F305D">
        <w:t>the Texas Trust Code</w:t>
      </w:r>
      <w:r w:rsidRPr="0059378C">
        <w:t xml:space="preserve"> </w:t>
      </w:r>
      <w:r w:rsidR="000F305D">
        <w:t>s</w:t>
      </w:r>
      <w:r w:rsidRPr="0059378C">
        <w:t>ection 114.064.</w:t>
      </w:r>
      <w:r w:rsidRPr="0059378C">
        <w:rPr>
          <w:rStyle w:val="FootnoteReference"/>
        </w:rPr>
        <w:footnoteReference w:id="117"/>
      </w:r>
    </w:p>
    <w:p w14:paraId="44BDF228" w14:textId="77777777" w:rsidR="003A0665" w:rsidRDefault="003A0665" w:rsidP="00561F7C">
      <w:pPr>
        <w:pStyle w:val="a-3rdSubHd"/>
        <w:spacing w:line="480" w:lineRule="auto"/>
      </w:pPr>
      <w:bookmarkStart w:id="60" w:name="_Toc7167204"/>
      <w:bookmarkStart w:id="61" w:name="_Toc31203601"/>
      <w:r w:rsidRPr="0059378C">
        <w:lastRenderedPageBreak/>
        <w:t xml:space="preserve">2.  </w:t>
      </w:r>
      <w:r w:rsidRPr="007E12F8">
        <w:rPr>
          <w:iCs/>
        </w:rPr>
        <w:t>Discretionary</w:t>
      </w:r>
      <w:r w:rsidRPr="0059378C">
        <w:t xml:space="preserve"> Distributions</w:t>
      </w:r>
      <w:bookmarkEnd w:id="60"/>
      <w:bookmarkEnd w:id="61"/>
    </w:p>
    <w:p w14:paraId="007740B0" w14:textId="44761798" w:rsidR="003A0665" w:rsidRDefault="003A0665" w:rsidP="00561F7C">
      <w:pPr>
        <w:pStyle w:val="b-bodytext"/>
        <w:spacing w:line="480" w:lineRule="auto"/>
      </w:pPr>
      <w:r w:rsidRPr="0059378C">
        <w:t>Most trust instruments include distribution standards involving some degree of trustee discretion for various reasons.</w:t>
      </w:r>
      <w:r w:rsidRPr="0059378C">
        <w:rPr>
          <w:rStyle w:val="FootnoteReference"/>
        </w:rPr>
        <w:footnoteReference w:id="118"/>
      </w:r>
      <w:r w:rsidRPr="0059378C">
        <w:t xml:space="preserve">  Generally, the hope is that such discretion provides flexibility for the trustee to best accomplish the settlor</w:t>
      </w:r>
      <w:r w:rsidR="001A6DCB">
        <w:t>’</w:t>
      </w:r>
      <w:r w:rsidRPr="0059378C">
        <w:t xml:space="preserve">s objectives as well as </w:t>
      </w:r>
      <w:r w:rsidR="00230AF9">
        <w:t xml:space="preserve">allows the trustee to </w:t>
      </w:r>
      <w:r w:rsidRPr="0059378C">
        <w:t>protect the trust beneficiary from third parties or from the beneficiary himself.</w:t>
      </w:r>
      <w:r w:rsidRPr="0059378C">
        <w:rPr>
          <w:rStyle w:val="FootnoteReference"/>
        </w:rPr>
        <w:footnoteReference w:id="119"/>
      </w:r>
    </w:p>
    <w:p w14:paraId="6B9D6B37" w14:textId="7C1022F3" w:rsidR="003A0665" w:rsidRDefault="003A0665" w:rsidP="00561F7C">
      <w:pPr>
        <w:pStyle w:val="a-3rdSubHd"/>
        <w:spacing w:line="480" w:lineRule="auto"/>
      </w:pPr>
      <w:bookmarkStart w:id="62" w:name="_Toc31203602"/>
      <w:r w:rsidRPr="0059378C">
        <w:t xml:space="preserve">a.  Ascertainable </w:t>
      </w:r>
      <w:r w:rsidR="008A5667">
        <w:t>s</w:t>
      </w:r>
      <w:r w:rsidRPr="0059378C">
        <w:t>tandard</w:t>
      </w:r>
      <w:bookmarkEnd w:id="62"/>
    </w:p>
    <w:p w14:paraId="22587FB0" w14:textId="537932FE" w:rsidR="003A0665" w:rsidRPr="0059378C" w:rsidRDefault="003A0665" w:rsidP="00561F7C">
      <w:pPr>
        <w:pStyle w:val="b-bodytext"/>
        <w:spacing w:line="480" w:lineRule="auto"/>
        <w:rPr>
          <w:u w:val="single"/>
        </w:rPr>
      </w:pPr>
      <w:r w:rsidRPr="0059378C">
        <w:t>An ascertainable standard is any standard which a court can sufficiently interpret to compel a distribution.</w:t>
      </w:r>
      <w:r w:rsidRPr="0059378C">
        <w:rPr>
          <w:rStyle w:val="FootnoteReference"/>
        </w:rPr>
        <w:footnoteReference w:id="120"/>
      </w:r>
      <w:r w:rsidRPr="0059378C">
        <w:t xml:space="preserve">  Limiting distributions to such standard is necessary to allow a trust beneficiary to serve as trustee of a trust for his or her benefit without causing the trust estate to be included in the trustee</w:t>
      </w:r>
      <w:r w:rsidR="008A5667">
        <w:noBreakHyphen/>
      </w:r>
      <w:r w:rsidRPr="0059378C">
        <w:t>beneficiary</w:t>
      </w:r>
      <w:r w:rsidR="001A6DCB">
        <w:t>’</w:t>
      </w:r>
      <w:r w:rsidRPr="0059378C">
        <w:t>s estate.</w:t>
      </w:r>
      <w:r w:rsidRPr="0059378C">
        <w:rPr>
          <w:rStyle w:val="FootnoteReference"/>
        </w:rPr>
        <w:footnoteReference w:id="121"/>
      </w:r>
    </w:p>
    <w:p w14:paraId="572246DB" w14:textId="1CDFE341" w:rsidR="003A0665" w:rsidRPr="0059378C" w:rsidRDefault="003A0665" w:rsidP="00561F7C">
      <w:pPr>
        <w:pStyle w:val="b-bodytext"/>
        <w:spacing w:line="480" w:lineRule="auto"/>
      </w:pPr>
      <w:r w:rsidRPr="0059378C">
        <w:t xml:space="preserve">The </w:t>
      </w:r>
      <w:proofErr w:type="gramStart"/>
      <w:r w:rsidRPr="0059378C">
        <w:t>most commonly used</w:t>
      </w:r>
      <w:proofErr w:type="gramEnd"/>
      <w:r w:rsidRPr="0059378C">
        <w:t xml:space="preserve"> ascertainable standard is health, education, maintenance and support (</w:t>
      </w:r>
      <w:r w:rsidRPr="00CC72ED">
        <w:rPr>
          <w:iCs/>
        </w:rPr>
        <w:t>HEMS</w:t>
      </w:r>
      <w:r w:rsidRPr="0059378C">
        <w:t>).</w:t>
      </w:r>
      <w:r w:rsidRPr="0059378C">
        <w:rPr>
          <w:rStyle w:val="FootnoteReference"/>
        </w:rPr>
        <w:footnoteReference w:id="122"/>
      </w:r>
      <w:r w:rsidRPr="0059378C">
        <w:t xml:space="preserve">  If this language is reigned in further — for example, only allowing distributions for health or education — that </w:t>
      </w:r>
      <w:r w:rsidRPr="0059378C">
        <w:lastRenderedPageBreak/>
        <w:t>serves to make the standard even more ascertainable.</w:t>
      </w:r>
      <w:r w:rsidRPr="0059378C">
        <w:rPr>
          <w:rStyle w:val="FootnoteReference"/>
        </w:rPr>
        <w:footnoteReference w:id="123"/>
      </w:r>
      <w:r w:rsidRPr="0059378C">
        <w:t xml:space="preserve">  However, within this standard, there is still plenty of room for discretion.</w:t>
      </w:r>
      <w:r w:rsidRPr="0059378C">
        <w:rPr>
          <w:rStyle w:val="FootnoteReference"/>
        </w:rPr>
        <w:footnoteReference w:id="124"/>
      </w:r>
    </w:p>
    <w:p w14:paraId="59051979" w14:textId="77777777" w:rsidR="003A0665" w:rsidRDefault="003A0665" w:rsidP="00561F7C">
      <w:pPr>
        <w:pStyle w:val="a-5thSubHead"/>
        <w:spacing w:line="480" w:lineRule="auto"/>
        <w:rPr>
          <w:iCs/>
        </w:rPr>
      </w:pPr>
      <w:bookmarkStart w:id="63" w:name="_Toc31203603"/>
      <w:proofErr w:type="spellStart"/>
      <w:r w:rsidRPr="0059378C">
        <w:t>i</w:t>
      </w:r>
      <w:proofErr w:type="spellEnd"/>
      <w:r w:rsidRPr="0059378C">
        <w:t xml:space="preserve">.  </w:t>
      </w:r>
      <w:r w:rsidRPr="007E12F8">
        <w:t>Health</w:t>
      </w:r>
      <w:bookmarkEnd w:id="63"/>
    </w:p>
    <w:p w14:paraId="5DF635D9" w14:textId="0173EE6D" w:rsidR="003A0665" w:rsidRPr="0059378C" w:rsidRDefault="003A0665" w:rsidP="00561F7C">
      <w:pPr>
        <w:pStyle w:val="b-bodytext"/>
        <w:spacing w:line="480" w:lineRule="auto"/>
      </w:pPr>
      <w:r w:rsidRPr="0059378C">
        <w:t xml:space="preserve">The term </w:t>
      </w:r>
      <w:r w:rsidR="001A6DCB">
        <w:t>“</w:t>
      </w:r>
      <w:r w:rsidRPr="0059378C">
        <w:t>health</w:t>
      </w:r>
      <w:r w:rsidR="001A6DCB">
        <w:t>”</w:t>
      </w:r>
      <w:r w:rsidRPr="0059378C">
        <w:t xml:space="preserve"> may initially seem easily defined, but it is a safe assumption that few settlors of </w:t>
      </w:r>
      <w:r w:rsidR="00230AF9">
        <w:t xml:space="preserve">pre-twenty-first century </w:t>
      </w:r>
      <w:proofErr w:type="gramStart"/>
      <w:r w:rsidRPr="0059378C">
        <w:t>trusts  anticipated</w:t>
      </w:r>
      <w:proofErr w:type="gramEnd"/>
      <w:r w:rsidRPr="0059378C">
        <w:t xml:space="preserve"> the growth and usage of medical marijuana!</w:t>
      </w:r>
      <w:r w:rsidRPr="0059378C">
        <w:rPr>
          <w:rStyle w:val="FootnoteReference"/>
        </w:rPr>
        <w:footnoteReference w:id="125"/>
      </w:r>
    </w:p>
    <w:p w14:paraId="497CBACB" w14:textId="0F1E3F8E" w:rsidR="003A0665" w:rsidRPr="0059378C" w:rsidRDefault="003A0665" w:rsidP="00561F7C">
      <w:pPr>
        <w:pStyle w:val="b-bodytext"/>
        <w:spacing w:line="480" w:lineRule="auto"/>
      </w:pPr>
      <w:r w:rsidRPr="0059378C">
        <w:t xml:space="preserve">Texas provides more guidance in interpreting what </w:t>
      </w:r>
      <w:r w:rsidR="001A6DCB">
        <w:t>“</w:t>
      </w:r>
      <w:r w:rsidRPr="0059378C">
        <w:t>health</w:t>
      </w:r>
      <w:r w:rsidR="001A6DCB">
        <w:t>”</w:t>
      </w:r>
      <w:r w:rsidRPr="0059378C">
        <w:t xml:space="preserve"> means by stating that a </w:t>
      </w:r>
      <w:r w:rsidR="001A6DCB">
        <w:t>“</w:t>
      </w:r>
      <w:r w:rsidRPr="0059378C">
        <w:t>trustee may conclusively presume that medicine or treatments approved by a licensed physician are appropriate for the health of the beneficiary.</w:t>
      </w:r>
      <w:r w:rsidR="001A6DCB">
        <w:t>”</w:t>
      </w:r>
      <w:r w:rsidRPr="0059378C">
        <w:rPr>
          <w:rStyle w:val="FootnoteReference"/>
        </w:rPr>
        <w:footnoteReference w:id="126"/>
      </w:r>
      <w:r w:rsidRPr="0059378C">
        <w:t xml:space="preserve"> </w:t>
      </w:r>
      <w:r w:rsidR="008A5667">
        <w:t> </w:t>
      </w:r>
      <w:r w:rsidRPr="0059378C">
        <w:t xml:space="preserve">The legislature added this section </w:t>
      </w:r>
      <w:r w:rsidR="00230AF9">
        <w:t xml:space="preserve">in response to requests from </w:t>
      </w:r>
      <w:r w:rsidRPr="0059378C">
        <w:t xml:space="preserve"> trustees administering court-created trusts</w:t>
      </w:r>
      <w:r w:rsidR="00230AF9">
        <w:t xml:space="preserve"> who</w:t>
      </w:r>
      <w:r w:rsidRPr="0059378C">
        <w:t xml:space="preserve"> found </w:t>
      </w:r>
      <w:r w:rsidR="00230AF9">
        <w:t xml:space="preserve">daunting </w:t>
      </w:r>
      <w:r w:rsidRPr="0059378C">
        <w:t xml:space="preserve">the variety of health-related requests </w:t>
      </w:r>
      <w:r w:rsidR="00230AF9">
        <w:t>they were receiving</w:t>
      </w:r>
      <w:r w:rsidRPr="0059378C">
        <w:t>.</w:t>
      </w:r>
      <w:r w:rsidRPr="0059378C">
        <w:rPr>
          <w:rStyle w:val="FootnoteReference"/>
        </w:rPr>
        <w:footnoteReference w:id="127"/>
      </w:r>
      <w:r w:rsidRPr="0059378C">
        <w:t xml:space="preserve">  The trustees</w:t>
      </w:r>
      <w:r w:rsidR="001A6DCB">
        <w:t>’</w:t>
      </w:r>
      <w:r w:rsidRPr="0059378C">
        <w:t xml:space="preserve"> concerns are understandable.</w:t>
      </w:r>
      <w:r w:rsidR="007572B2">
        <w:rPr>
          <w:rStyle w:val="FootnoteReference"/>
        </w:rPr>
        <w:footnoteReference w:id="128"/>
      </w:r>
      <w:r w:rsidRPr="0059378C">
        <w:t xml:space="preserve"> Life expectancy is increasing, but so is the prevalence of chronic illnesses, such as high blood pressure and diabetes.</w:t>
      </w:r>
      <w:r w:rsidRPr="0059378C">
        <w:rPr>
          <w:rStyle w:val="FootnoteReference"/>
        </w:rPr>
        <w:footnoteReference w:id="129"/>
      </w:r>
      <w:r w:rsidR="00230AF9">
        <w:t xml:space="preserve">  </w:t>
      </w:r>
      <w:r w:rsidR="00230AF9">
        <w:lastRenderedPageBreak/>
        <w:t>Most trustees are not medical professionals and yet, the</w:t>
      </w:r>
      <w:r w:rsidR="005603C0">
        <w:t xml:space="preserve"> very nature of their fiduciary role necessitates that a trustee consider the health and life expectancy of a beneficiary in order to </w:t>
      </w:r>
      <w:r w:rsidR="00230AF9">
        <w:t xml:space="preserve">make distributions, investments and administrative decisions in the best interests of </w:t>
      </w:r>
      <w:r w:rsidR="005603C0">
        <w:t>said beneficiary.</w:t>
      </w:r>
    </w:p>
    <w:p w14:paraId="5116EC57" w14:textId="132D0452" w:rsidR="003A0665" w:rsidRPr="0059378C" w:rsidRDefault="003A0665" w:rsidP="00561F7C">
      <w:pPr>
        <w:pStyle w:val="b-bodytext"/>
        <w:spacing w:line="480" w:lineRule="auto"/>
      </w:pPr>
      <w:r w:rsidRPr="0059378C">
        <w:t>Moreover, distribution requests related to health may include alternative treatments, such as acupuncture or homeopathic remedies, as well as elective medical procedures such as plastic surgery, laser eye procedures, cosmetic dentistry, non-diagnostic full-body scans, tattoo removal, and others.</w:t>
      </w:r>
      <w:r w:rsidRPr="0059378C">
        <w:rPr>
          <w:rStyle w:val="FootnoteReference"/>
        </w:rPr>
        <w:footnoteReference w:id="130"/>
      </w:r>
      <w:r w:rsidRPr="0059378C">
        <w:t xml:space="preserve">  Should a trustee make distributions for such procedures and if so, does that open the door to even more radical treatments?</w:t>
      </w:r>
      <w:r w:rsidRPr="0059378C">
        <w:rPr>
          <w:rStyle w:val="FootnoteReference"/>
        </w:rPr>
        <w:footnoteReference w:id="131"/>
      </w:r>
      <w:r w:rsidRPr="0059378C">
        <w:t xml:space="preserve">  Moreover, should a trustee be expected to pay for healthcare expenses for a beneficiary who refused to take steps to care for himself?</w:t>
      </w:r>
      <w:r w:rsidRPr="0059378C">
        <w:rPr>
          <w:rStyle w:val="FootnoteReference"/>
        </w:rPr>
        <w:footnoteReference w:id="132"/>
      </w:r>
    </w:p>
    <w:p w14:paraId="7775A356" w14:textId="58479EE1" w:rsidR="003A0665" w:rsidRDefault="003A0665" w:rsidP="00561F7C">
      <w:pPr>
        <w:pStyle w:val="b-bodytext"/>
        <w:spacing w:line="480" w:lineRule="auto"/>
      </w:pPr>
      <w:r w:rsidRPr="0059378C">
        <w:t xml:space="preserve">As noted in the Restatement (Third), the term </w:t>
      </w:r>
      <w:r w:rsidR="001A6DCB">
        <w:t>“</w:t>
      </w:r>
      <w:r w:rsidRPr="0059378C">
        <w:t>health</w:t>
      </w:r>
      <w:r w:rsidR="001A6DCB">
        <w:t>”</w:t>
      </w:r>
      <w:r w:rsidRPr="0059378C">
        <w:t xml:space="preserve"> often includes items that also fall within the definition of </w:t>
      </w:r>
      <w:r w:rsidR="001A6DCB">
        <w:t>“</w:t>
      </w:r>
      <w:r w:rsidRPr="0059378C">
        <w:t>support</w:t>
      </w:r>
      <w:r w:rsidR="001A6DCB">
        <w:t>”</w:t>
      </w:r>
      <w:r w:rsidRPr="0059378C">
        <w:t xml:space="preserve"> which might provide a trustee with more justification for distribution (or make it more difficult to deny distribution).</w:t>
      </w:r>
      <w:r w:rsidRPr="0059378C">
        <w:rPr>
          <w:rStyle w:val="FootnoteReference"/>
        </w:rPr>
        <w:footnoteReference w:id="133"/>
      </w:r>
    </w:p>
    <w:p w14:paraId="0E4169D9" w14:textId="77777777" w:rsidR="003A0665" w:rsidRDefault="003A0665" w:rsidP="00561F7C">
      <w:pPr>
        <w:pStyle w:val="a-5thSubHead"/>
        <w:spacing w:line="480" w:lineRule="auto"/>
        <w:rPr>
          <w:iCs/>
        </w:rPr>
      </w:pPr>
      <w:bookmarkStart w:id="64" w:name="_Toc31203604"/>
      <w:r w:rsidRPr="007E12F8">
        <w:lastRenderedPageBreak/>
        <w:t>ii.  Education</w:t>
      </w:r>
      <w:bookmarkEnd w:id="64"/>
    </w:p>
    <w:p w14:paraId="06FDCB9D" w14:textId="6EFF4FA2" w:rsidR="003A0665" w:rsidRPr="0059378C" w:rsidRDefault="003A0665" w:rsidP="00561F7C">
      <w:pPr>
        <w:pStyle w:val="b-bodytext"/>
        <w:spacing w:line="480" w:lineRule="auto"/>
      </w:pPr>
      <w:r w:rsidRPr="0059378C">
        <w:t>Generally, education is considered to include living expenses, tuition, fees, books, and other cost of higher education or technical training.</w:t>
      </w:r>
      <w:r w:rsidRPr="0059378C">
        <w:rPr>
          <w:rStyle w:val="FootnoteReference"/>
        </w:rPr>
        <w:footnoteReference w:id="134"/>
      </w:r>
      <w:r w:rsidRPr="0059378C">
        <w:t xml:space="preserve">  However, there are still questions as to when educational distributions may be made for expenses outside of a four-year college degree.</w:t>
      </w:r>
      <w:r w:rsidRPr="0059378C">
        <w:rPr>
          <w:rStyle w:val="FootnoteReference"/>
        </w:rPr>
        <w:footnoteReference w:id="135"/>
      </w:r>
      <w:r w:rsidRPr="0059378C">
        <w:t xml:space="preserve">  For example, in </w:t>
      </w:r>
      <w:r w:rsidRPr="0059378C">
        <w:rPr>
          <w:i/>
        </w:rPr>
        <w:t>S. Bank &amp; Trust Co. v. Brown</w:t>
      </w:r>
      <w:r w:rsidRPr="0059378C">
        <w:t>, the Court found that education did not include post-graduate studies but instead was limited to education up to, and including, a bachelor</w:t>
      </w:r>
      <w:r w:rsidR="001A6DCB">
        <w:t>’</w:t>
      </w:r>
      <w:r w:rsidRPr="0059378C">
        <w:t>s degree.</w:t>
      </w:r>
      <w:r w:rsidRPr="0059378C">
        <w:rPr>
          <w:rStyle w:val="FootnoteReference"/>
        </w:rPr>
        <w:footnoteReference w:id="136"/>
      </w:r>
      <w:r w:rsidRPr="0059378C">
        <w:t xml:space="preserve">  Even so, the Court acknowledged that </w:t>
      </w:r>
      <w:r w:rsidR="001A6DCB">
        <w:t>“</w:t>
      </w:r>
      <w:r w:rsidRPr="0059378C">
        <w:t>education is a broad and comprehensive terms and its particular meaning must be determined by the context in which it is used.</w:t>
      </w:r>
      <w:r w:rsidR="001A6DCB">
        <w:t>”</w:t>
      </w:r>
      <w:r w:rsidRPr="0059378C">
        <w:rPr>
          <w:rStyle w:val="FootnoteReference"/>
        </w:rPr>
        <w:footnoteReference w:id="137"/>
      </w:r>
    </w:p>
    <w:p w14:paraId="5178EB20" w14:textId="3A1B0653" w:rsidR="003A0665" w:rsidRPr="0059378C" w:rsidRDefault="003A0665" w:rsidP="00561F7C">
      <w:pPr>
        <w:pStyle w:val="b-bodytext"/>
        <w:spacing w:line="480" w:lineRule="auto"/>
      </w:pPr>
      <w:r w:rsidRPr="0059378C">
        <w:t xml:space="preserve">Most cases discussing what trust distributions fit within the term </w:t>
      </w:r>
      <w:r w:rsidR="001A6DCB">
        <w:t>“</w:t>
      </w:r>
      <w:r w:rsidRPr="0059378C">
        <w:t>education</w:t>
      </w:r>
      <w:r w:rsidR="001A6DCB">
        <w:t>”</w:t>
      </w:r>
      <w:r w:rsidRPr="0059378C">
        <w:t xml:space="preserve"> thus far have dealt with </w:t>
      </w:r>
      <w:r w:rsidRPr="00CC72ED">
        <w:t>post</w:t>
      </w:r>
      <w:r w:rsidRPr="0059378C">
        <w:rPr>
          <w:u w:val="single"/>
        </w:rPr>
        <w:softHyphen/>
      </w:r>
      <w:r w:rsidRPr="0059378C">
        <w:t>-graduate education, but distributions for private primary school can be significant as well.</w:t>
      </w:r>
      <w:r w:rsidRPr="0059378C">
        <w:rPr>
          <w:rStyle w:val="FootnoteReference"/>
        </w:rPr>
        <w:footnoteReference w:id="138"/>
      </w:r>
      <w:r w:rsidRPr="0059378C">
        <w:t xml:space="preserve">  The tuition charged by private schools averaged $11,000 annually in the 2010–2011 academic year</w:t>
      </w:r>
      <w:r w:rsidR="000D3EFB">
        <w:t>,</w:t>
      </w:r>
      <w:r w:rsidRPr="0059378C">
        <w:t xml:space="preserve"> which is the most recent year for which such data is </w:t>
      </w:r>
      <w:r w:rsidRPr="0059378C">
        <w:lastRenderedPageBreak/>
        <w:t>available.</w:t>
      </w:r>
      <w:r w:rsidRPr="0059378C">
        <w:rPr>
          <w:rStyle w:val="FootnoteReference"/>
        </w:rPr>
        <w:footnoteReference w:id="139"/>
      </w:r>
      <w:r w:rsidRPr="0059378C">
        <w:t xml:space="preserve">  What about tutoring costs, SAT/ACT preparatory courses, and other similar expenses?</w:t>
      </w:r>
      <w:r w:rsidRPr="0059378C">
        <w:rPr>
          <w:rStyle w:val="FootnoteReference"/>
        </w:rPr>
        <w:footnoteReference w:id="140"/>
      </w:r>
    </w:p>
    <w:p w14:paraId="20F3C0B9" w14:textId="1678E675" w:rsidR="003A0665" w:rsidRPr="0059378C" w:rsidRDefault="003A0665" w:rsidP="00561F7C">
      <w:pPr>
        <w:pStyle w:val="b-bodytext"/>
        <w:spacing w:line="480" w:lineRule="auto"/>
        <w:rPr>
          <w:rFonts w:eastAsiaTheme="majorEastAsia"/>
        </w:rPr>
      </w:pPr>
      <w:r w:rsidRPr="0059378C">
        <w:rPr>
          <w:rFonts w:eastAsiaTheme="majorEastAsia"/>
        </w:rPr>
        <w:t>Additionally, should distributions be made for a beneficiary who does not maintain a passing grade average?</w:t>
      </w:r>
      <w:r w:rsidRPr="0059378C">
        <w:rPr>
          <w:rStyle w:val="FootnoteReference"/>
          <w:rFonts w:eastAsiaTheme="majorEastAsia"/>
        </w:rPr>
        <w:footnoteReference w:id="141"/>
      </w:r>
      <w:r w:rsidRPr="0059378C">
        <w:rPr>
          <w:rFonts w:eastAsiaTheme="majorEastAsia"/>
        </w:rPr>
        <w:t xml:space="preserve"> </w:t>
      </w:r>
      <w:r w:rsidR="00BE6718">
        <w:rPr>
          <w:rFonts w:eastAsiaTheme="majorEastAsia"/>
        </w:rPr>
        <w:t> </w:t>
      </w:r>
      <w:r w:rsidRPr="0059378C">
        <w:rPr>
          <w:rFonts w:eastAsiaTheme="majorEastAsia"/>
        </w:rPr>
        <w:t>A beneficiary who does not graduate college within a certain number of years?</w:t>
      </w:r>
      <w:r w:rsidRPr="0059378C">
        <w:rPr>
          <w:rStyle w:val="FootnoteReference"/>
          <w:rFonts w:eastAsiaTheme="majorEastAsia"/>
        </w:rPr>
        <w:footnoteReference w:id="142"/>
      </w:r>
      <w:r w:rsidRPr="0059378C">
        <w:rPr>
          <w:rFonts w:eastAsiaTheme="majorEastAsia"/>
        </w:rPr>
        <w:t xml:space="preserve"> </w:t>
      </w:r>
      <w:r w:rsidR="00BE6718">
        <w:rPr>
          <w:rFonts w:eastAsiaTheme="majorEastAsia"/>
        </w:rPr>
        <w:t> </w:t>
      </w:r>
      <w:r w:rsidRPr="0059378C">
        <w:rPr>
          <w:rFonts w:eastAsiaTheme="majorEastAsia"/>
        </w:rPr>
        <w:t>And perhaps particularly relevant in today</w:t>
      </w:r>
      <w:r w:rsidR="001A6DCB">
        <w:rPr>
          <w:rFonts w:eastAsiaTheme="majorEastAsia"/>
        </w:rPr>
        <w:t>’</w:t>
      </w:r>
      <w:r w:rsidRPr="0059378C">
        <w:rPr>
          <w:rFonts w:eastAsiaTheme="majorEastAsia"/>
        </w:rPr>
        <w:t>s environment, should distributions for a beneficiary</w:t>
      </w:r>
      <w:r w:rsidR="001A6DCB">
        <w:rPr>
          <w:rFonts w:eastAsiaTheme="majorEastAsia"/>
        </w:rPr>
        <w:t>’</w:t>
      </w:r>
      <w:r w:rsidRPr="0059378C">
        <w:rPr>
          <w:rFonts w:eastAsiaTheme="majorEastAsia"/>
        </w:rPr>
        <w:t>s education be made if such distributions will deplete the trust estate?</w:t>
      </w:r>
      <w:r w:rsidRPr="0059378C">
        <w:rPr>
          <w:rStyle w:val="FootnoteReference"/>
          <w:rFonts w:eastAsiaTheme="majorEastAsia"/>
        </w:rPr>
        <w:footnoteReference w:id="143"/>
      </w:r>
      <w:r w:rsidRPr="0059378C">
        <w:rPr>
          <w:rFonts w:eastAsiaTheme="majorEastAsia"/>
        </w:rPr>
        <w:t xml:space="preserve">  Harvard</w:t>
      </w:r>
      <w:r w:rsidR="001A6DCB">
        <w:rPr>
          <w:rFonts w:eastAsiaTheme="majorEastAsia"/>
        </w:rPr>
        <w:t>’</w:t>
      </w:r>
      <w:r w:rsidRPr="0059378C">
        <w:rPr>
          <w:rFonts w:eastAsiaTheme="majorEastAsia"/>
        </w:rPr>
        <w:t>s package of undergraduate tuition, room and board, and student fees for the 2000–2001 academic year was $33,110.</w:t>
      </w:r>
      <w:r w:rsidRPr="0059378C">
        <w:rPr>
          <w:rStyle w:val="FootnoteReference"/>
          <w:rFonts w:eastAsiaTheme="majorEastAsia"/>
        </w:rPr>
        <w:footnoteReference w:id="144"/>
      </w:r>
      <w:r w:rsidRPr="0059378C">
        <w:rPr>
          <w:rFonts w:eastAsiaTheme="majorEastAsia"/>
        </w:rPr>
        <w:t xml:space="preserve">  However, the cost for this undergraduate package for the 2018–2019 academic year is $67,580.</w:t>
      </w:r>
      <w:r w:rsidRPr="0059378C">
        <w:rPr>
          <w:rStyle w:val="FootnoteReference"/>
          <w:rFonts w:eastAsiaTheme="majorEastAsia"/>
        </w:rPr>
        <w:footnoteReference w:id="145"/>
      </w:r>
      <w:r w:rsidRPr="0059378C">
        <w:rPr>
          <w:rFonts w:eastAsiaTheme="majorEastAsia"/>
        </w:rPr>
        <w:t xml:space="preserve">  Did the  settlor anticipate the rapid increase in educational expenses when the trust was initially established?</w:t>
      </w:r>
      <w:r w:rsidRPr="0059378C">
        <w:rPr>
          <w:rStyle w:val="FootnoteReference"/>
          <w:rFonts w:eastAsiaTheme="majorEastAsia"/>
        </w:rPr>
        <w:footnoteReference w:id="146"/>
      </w:r>
    </w:p>
    <w:p w14:paraId="42354C3A" w14:textId="4D596C25" w:rsidR="003A0665" w:rsidRDefault="003A0665" w:rsidP="00561F7C">
      <w:pPr>
        <w:pStyle w:val="a-5thSubHead"/>
        <w:spacing w:line="480" w:lineRule="auto"/>
        <w:rPr>
          <w:iCs/>
        </w:rPr>
      </w:pPr>
      <w:bookmarkStart w:id="65" w:name="_Toc31203605"/>
      <w:proofErr w:type="gramStart"/>
      <w:r w:rsidRPr="007E12F8">
        <w:lastRenderedPageBreak/>
        <w:t xml:space="preserve">iii.  </w:t>
      </w:r>
      <w:r w:rsidR="001A6DCB">
        <w:t>“</w:t>
      </w:r>
      <w:proofErr w:type="gramEnd"/>
      <w:r w:rsidRPr="007E12F8">
        <w:t>Support</w:t>
      </w:r>
      <w:r w:rsidR="001A6DCB">
        <w:t>”</w:t>
      </w:r>
      <w:r w:rsidRPr="007E12F8">
        <w:t xml:space="preserve"> and </w:t>
      </w:r>
      <w:r w:rsidR="001A6DCB">
        <w:t>“</w:t>
      </w:r>
      <w:r w:rsidR="00F44C39" w:rsidRPr="007E12F8">
        <w:t>Maintenance</w:t>
      </w:r>
      <w:r w:rsidR="001A6DCB">
        <w:t>”</w:t>
      </w:r>
      <w:bookmarkEnd w:id="65"/>
    </w:p>
    <w:p w14:paraId="2EEEF93F" w14:textId="6F22E60E" w:rsidR="003A0665" w:rsidRPr="0059378C" w:rsidRDefault="003A0665" w:rsidP="00561F7C">
      <w:pPr>
        <w:pStyle w:val="b-bodytext"/>
        <w:spacing w:line="480" w:lineRule="auto"/>
      </w:pPr>
      <w:r w:rsidRPr="0059378C">
        <w:t xml:space="preserve">Courts have held that </w:t>
      </w:r>
      <w:r w:rsidR="001A6DCB">
        <w:t>“</w:t>
      </w:r>
      <w:r w:rsidRPr="0059378C">
        <w:t>support</w:t>
      </w:r>
      <w:r w:rsidR="001A6DCB">
        <w:t>”</w:t>
      </w:r>
      <w:r w:rsidRPr="0059378C">
        <w:t xml:space="preserve"> means more than the basic or essential necessities of life.</w:t>
      </w:r>
      <w:r w:rsidRPr="0059378C">
        <w:rPr>
          <w:rStyle w:val="FootnoteReference"/>
        </w:rPr>
        <w:footnoteReference w:id="147"/>
      </w:r>
      <w:r w:rsidRPr="0059378C">
        <w:t xml:space="preserve"> </w:t>
      </w:r>
      <w:r w:rsidR="00BE6718">
        <w:t> </w:t>
      </w:r>
      <w:r w:rsidR="00BD35B4">
        <w:t xml:space="preserve">Rather, </w:t>
      </w:r>
      <w:r w:rsidRPr="0059378C">
        <w:t xml:space="preserve">support may include </w:t>
      </w:r>
      <w:r w:rsidR="001A6DCB">
        <w:t>“</w:t>
      </w:r>
      <w:r w:rsidRPr="0059378C">
        <w:t>regular mortgage payments, property taxes, suitable health insurance or care, existing programs of life and property insurance and continuation of accustomed patterns of vacation and charitable and family giving.</w:t>
      </w:r>
      <w:r w:rsidR="001A6DCB">
        <w:t>”</w:t>
      </w:r>
      <w:r w:rsidRPr="0059378C">
        <w:rPr>
          <w:rStyle w:val="FootnoteReference"/>
        </w:rPr>
        <w:footnoteReference w:id="148"/>
      </w:r>
      <w:r w:rsidRPr="0059378C">
        <w:t xml:space="preserve">  Moreover, unless specifically directed to do so by the trust instrument, a beneficiary is not required to exhaust all outside financial resources before the trustee should make support distributions from a trust.</w:t>
      </w:r>
      <w:r w:rsidRPr="0059378C">
        <w:rPr>
          <w:rStyle w:val="FootnoteReference"/>
        </w:rPr>
        <w:footnoteReference w:id="149"/>
      </w:r>
    </w:p>
    <w:p w14:paraId="20DCB863" w14:textId="372DCF00" w:rsidR="003A0665" w:rsidRPr="0059378C" w:rsidRDefault="001A6DCB" w:rsidP="00561F7C">
      <w:pPr>
        <w:pStyle w:val="b-bodytext"/>
        <w:spacing w:line="480" w:lineRule="auto"/>
      </w:pPr>
      <w:r>
        <w:t>“</w:t>
      </w:r>
      <w:r w:rsidR="003A0665" w:rsidRPr="0059378C">
        <w:t>Support</w:t>
      </w:r>
      <w:r>
        <w:t>”</w:t>
      </w:r>
      <w:r w:rsidR="003A0665" w:rsidRPr="0059378C">
        <w:t xml:space="preserve"> </w:t>
      </w:r>
      <w:r w:rsidR="00F44C39" w:rsidRPr="0059378C">
        <w:t xml:space="preserve">further </w:t>
      </w:r>
      <w:r w:rsidR="005603C0">
        <w:t xml:space="preserve">may </w:t>
      </w:r>
      <w:r w:rsidR="00F44C39" w:rsidRPr="0059378C">
        <w:t>include</w:t>
      </w:r>
      <w:r w:rsidR="003A0665" w:rsidRPr="0059378C">
        <w:t xml:space="preserve"> the educational expenses of the beneficiary</w:t>
      </w:r>
      <w:r>
        <w:t>’</w:t>
      </w:r>
      <w:r w:rsidR="003A0665" w:rsidRPr="0059378C">
        <w:t>s dependents.</w:t>
      </w:r>
      <w:r w:rsidR="003A0665" w:rsidRPr="0059378C">
        <w:rPr>
          <w:rStyle w:val="FootnoteReference"/>
        </w:rPr>
        <w:footnoteReference w:id="150"/>
      </w:r>
      <w:r w:rsidR="003A0665" w:rsidRPr="0059378C">
        <w:t xml:space="preserve"> </w:t>
      </w:r>
      <w:r w:rsidR="00BE6718">
        <w:t> </w:t>
      </w:r>
      <w:r w:rsidR="003A0665" w:rsidRPr="0059378C">
        <w:t xml:space="preserve">In </w:t>
      </w:r>
      <w:r w:rsidR="003A0665" w:rsidRPr="0059378C">
        <w:rPr>
          <w:i/>
        </w:rPr>
        <w:t>First National Bank of Beaumont</w:t>
      </w:r>
      <w:r w:rsidR="003A0665" w:rsidRPr="0059378C">
        <w:t>, the Texas Supreme Court held that because the settlor had paid for his daughters</w:t>
      </w:r>
      <w:r>
        <w:t>’</w:t>
      </w:r>
      <w:r w:rsidR="003A0665" w:rsidRPr="0059378C">
        <w:t xml:space="preserve"> college education, he obviously considered the expense a </w:t>
      </w:r>
      <w:r>
        <w:t>“</w:t>
      </w:r>
      <w:r w:rsidR="003A0665" w:rsidRPr="0059378C">
        <w:t>necessary</w:t>
      </w:r>
      <w:r>
        <w:t>”</w:t>
      </w:r>
      <w:r w:rsidR="003A0665" w:rsidRPr="0059378C">
        <w:t xml:space="preserve"> expenditure.</w:t>
      </w:r>
      <w:r w:rsidR="003A0665" w:rsidRPr="0059378C">
        <w:rPr>
          <w:rStyle w:val="FootnoteReference"/>
        </w:rPr>
        <w:footnoteReference w:id="151"/>
      </w:r>
    </w:p>
    <w:p w14:paraId="4E9A60EA" w14:textId="6DDC574A" w:rsidR="003A0665" w:rsidRPr="0059378C" w:rsidRDefault="003A0665" w:rsidP="00561F7C">
      <w:pPr>
        <w:pStyle w:val="b-bodytext"/>
        <w:spacing w:line="480" w:lineRule="auto"/>
      </w:pPr>
      <w:r w:rsidRPr="0059378C">
        <w:rPr>
          <w:rFonts w:eastAsiaTheme="majorEastAsia"/>
        </w:rPr>
        <w:lastRenderedPageBreak/>
        <w:t xml:space="preserve">The term </w:t>
      </w:r>
      <w:r w:rsidR="001A6DCB">
        <w:rPr>
          <w:rFonts w:eastAsiaTheme="majorEastAsia"/>
        </w:rPr>
        <w:t>“</w:t>
      </w:r>
      <w:r w:rsidRPr="0059378C">
        <w:rPr>
          <w:rFonts w:eastAsiaTheme="majorEastAsia"/>
        </w:rPr>
        <w:t>maintenance</w:t>
      </w:r>
      <w:r w:rsidR="001A6DCB">
        <w:rPr>
          <w:rFonts w:eastAsiaTheme="majorEastAsia"/>
        </w:rPr>
        <w:t>”</w:t>
      </w:r>
      <w:r w:rsidRPr="0059378C">
        <w:rPr>
          <w:rFonts w:eastAsiaTheme="majorEastAsia"/>
        </w:rPr>
        <w:t xml:space="preserve"> is generally considered similar to the term </w:t>
      </w:r>
      <w:r w:rsidR="001A6DCB">
        <w:rPr>
          <w:rFonts w:eastAsiaTheme="majorEastAsia"/>
        </w:rPr>
        <w:t>“</w:t>
      </w:r>
      <w:r w:rsidRPr="0059378C">
        <w:rPr>
          <w:rFonts w:eastAsiaTheme="majorEastAsia"/>
        </w:rPr>
        <w:t>support</w:t>
      </w:r>
      <w:r w:rsidR="00BE6718">
        <w:rPr>
          <w:rFonts w:eastAsiaTheme="majorEastAsia"/>
        </w:rPr>
        <w:t>.</w:t>
      </w:r>
      <w:r w:rsidR="001A6DCB">
        <w:rPr>
          <w:rFonts w:eastAsiaTheme="majorEastAsia"/>
        </w:rPr>
        <w:t>”</w:t>
      </w:r>
      <w:r w:rsidRPr="0059378C">
        <w:rPr>
          <w:rStyle w:val="FootnoteReference"/>
          <w:rFonts w:eastAsiaTheme="majorEastAsia"/>
        </w:rPr>
        <w:footnoteReference w:id="152"/>
      </w:r>
      <w:r w:rsidRPr="0059378C">
        <w:rPr>
          <w:rFonts w:eastAsiaTheme="majorEastAsia"/>
        </w:rPr>
        <w:t xml:space="preserve">  </w:t>
      </w:r>
      <w:r w:rsidRPr="0059378C">
        <w:t>In fact the Restatement (Third) of Trusts considers these terms synonymous.</w:t>
      </w:r>
      <w:r w:rsidRPr="0059378C">
        <w:rPr>
          <w:rStyle w:val="FootnoteReference"/>
        </w:rPr>
        <w:footnoteReference w:id="153"/>
      </w:r>
    </w:p>
    <w:p w14:paraId="1384DEA2" w14:textId="104C7648" w:rsidR="003A0665" w:rsidRPr="0059378C" w:rsidRDefault="003A0665" w:rsidP="00561F7C">
      <w:pPr>
        <w:pStyle w:val="b-bodytext"/>
        <w:spacing w:line="480" w:lineRule="auto"/>
      </w:pPr>
      <w:r w:rsidRPr="0059378C">
        <w:t>However, when the distribution standard includes the terms support or maintenance, a trustee</w:t>
      </w:r>
      <w:r w:rsidR="001A6DCB">
        <w:t>’</w:t>
      </w:r>
      <w:r w:rsidRPr="0059378C">
        <w:t>s discretion is not unbridled discretion.</w:t>
      </w:r>
      <w:r w:rsidRPr="0059378C">
        <w:rPr>
          <w:rStyle w:val="FootnoteReference"/>
        </w:rPr>
        <w:footnoteReference w:id="154"/>
      </w:r>
      <w:r w:rsidRPr="0059378C">
        <w:t xml:space="preserve">  Rather, the trustee</w:t>
      </w:r>
      <w:r w:rsidR="001A6DCB">
        <w:t>’</w:t>
      </w:r>
      <w:r w:rsidRPr="0059378C">
        <w:t xml:space="preserve">s discretion must be </w:t>
      </w:r>
      <w:r w:rsidR="001A6DCB">
        <w:t>“</w:t>
      </w:r>
      <w:r w:rsidRPr="0059378C">
        <w:t>reasonably exercised to accomplish the purposes of the trust according to the settlor</w:t>
      </w:r>
      <w:r w:rsidR="001A6DCB">
        <w:t>’</w:t>
      </w:r>
      <w:r w:rsidRPr="0059378C">
        <w:t>s intention and his exercise thereof is subject to judicial review and control</w:t>
      </w:r>
      <w:r w:rsidR="00BE6718">
        <w:t>.</w:t>
      </w:r>
      <w:r w:rsidR="001A6DCB">
        <w:t>”</w:t>
      </w:r>
      <w:r w:rsidRPr="0059378C">
        <w:rPr>
          <w:rStyle w:val="FootnoteReference"/>
        </w:rPr>
        <w:footnoteReference w:id="155"/>
      </w:r>
    </w:p>
    <w:p w14:paraId="6B5D965C" w14:textId="20654165" w:rsidR="003A0665" w:rsidRPr="0059378C" w:rsidRDefault="003A0665" w:rsidP="00561F7C">
      <w:pPr>
        <w:pStyle w:val="b-bodytext"/>
        <w:spacing w:line="480" w:lineRule="auto"/>
      </w:pPr>
      <w:r w:rsidRPr="0059378C">
        <w:t xml:space="preserve">The Texas Supreme Court, in </w:t>
      </w:r>
      <w:r w:rsidRPr="0059378C">
        <w:rPr>
          <w:i/>
        </w:rPr>
        <w:t xml:space="preserve">State v. </w:t>
      </w:r>
      <w:proofErr w:type="spellStart"/>
      <w:r w:rsidRPr="0059378C">
        <w:rPr>
          <w:i/>
        </w:rPr>
        <w:t>Rubion</w:t>
      </w:r>
      <w:proofErr w:type="spellEnd"/>
      <w:r w:rsidRPr="00BE6718">
        <w:t xml:space="preserve">, </w:t>
      </w:r>
      <w:r w:rsidRPr="0059378C">
        <w:t xml:space="preserve">recognized </w:t>
      </w:r>
      <w:proofErr w:type="gramStart"/>
      <w:r w:rsidRPr="0059378C">
        <w:t>a number of</w:t>
      </w:r>
      <w:proofErr w:type="gramEnd"/>
      <w:r w:rsidRPr="0059378C">
        <w:t xml:space="preserve"> factors that should be considered by a trustee exercising its discretion in a </w:t>
      </w:r>
      <w:r w:rsidR="001A6DCB">
        <w:t>“</w:t>
      </w:r>
      <w:r w:rsidRPr="0059378C">
        <w:t>support</w:t>
      </w:r>
      <w:r w:rsidR="001A6DCB">
        <w:t>”</w:t>
      </w:r>
      <w:r w:rsidRPr="0059378C">
        <w:t xml:space="preserve"> or </w:t>
      </w:r>
      <w:r w:rsidR="001A6DCB">
        <w:t>“</w:t>
      </w:r>
      <w:r w:rsidRPr="0059378C">
        <w:t>maintenance</w:t>
      </w:r>
      <w:r w:rsidR="001A6DCB">
        <w:t>”</w:t>
      </w:r>
      <w:r w:rsidRPr="0059378C">
        <w:t xml:space="preserve"> trust.</w:t>
      </w:r>
      <w:r w:rsidRPr="0059378C">
        <w:rPr>
          <w:rStyle w:val="FootnoteReference"/>
        </w:rPr>
        <w:footnoteReference w:id="156"/>
      </w:r>
      <w:r w:rsidRPr="0059378C">
        <w:t xml:space="preserve">  The factors include:</w:t>
      </w:r>
    </w:p>
    <w:p w14:paraId="005E3964" w14:textId="77777777" w:rsidR="003A0665" w:rsidRPr="0059378C" w:rsidRDefault="003A0665" w:rsidP="00561F7C">
      <w:pPr>
        <w:pStyle w:val="b-bodytext"/>
        <w:numPr>
          <w:ilvl w:val="0"/>
          <w:numId w:val="9"/>
        </w:numPr>
        <w:spacing w:line="480" w:lineRule="auto"/>
        <w:ind w:left="810"/>
      </w:pPr>
      <w:r w:rsidRPr="0059378C">
        <w:t xml:space="preserve">The overall size of the trust </w:t>
      </w:r>
      <w:proofErr w:type="gramStart"/>
      <w:r w:rsidRPr="0059378C">
        <w:t>estate;</w:t>
      </w:r>
      <w:proofErr w:type="gramEnd"/>
    </w:p>
    <w:p w14:paraId="39CC6F72" w14:textId="4169A41D" w:rsidR="003A0665" w:rsidRPr="0059378C" w:rsidRDefault="003A0665" w:rsidP="00561F7C">
      <w:pPr>
        <w:pStyle w:val="b-bodytext"/>
        <w:numPr>
          <w:ilvl w:val="0"/>
          <w:numId w:val="9"/>
        </w:numPr>
        <w:tabs>
          <w:tab w:val="clear" w:pos="440"/>
          <w:tab w:val="left" w:pos="450"/>
        </w:tabs>
        <w:spacing w:line="480" w:lineRule="auto"/>
        <w:ind w:left="810"/>
      </w:pPr>
      <w:r w:rsidRPr="0059378C">
        <w:t>The beneficiary</w:t>
      </w:r>
      <w:r w:rsidR="001A6DCB">
        <w:t>’</w:t>
      </w:r>
      <w:r w:rsidRPr="0059378C">
        <w:t xml:space="preserve">s life expectancy, age, and condition in </w:t>
      </w:r>
      <w:proofErr w:type="gramStart"/>
      <w:r w:rsidRPr="0059378C">
        <w:t>life;</w:t>
      </w:r>
      <w:proofErr w:type="gramEnd"/>
    </w:p>
    <w:p w14:paraId="72DC3224" w14:textId="35029495" w:rsidR="003A0665" w:rsidRPr="0059378C" w:rsidRDefault="003A0665" w:rsidP="00561F7C">
      <w:pPr>
        <w:pStyle w:val="b-bodytext"/>
        <w:numPr>
          <w:ilvl w:val="0"/>
          <w:numId w:val="9"/>
        </w:numPr>
        <w:spacing w:line="480" w:lineRule="auto"/>
        <w:ind w:left="810"/>
      </w:pPr>
      <w:r w:rsidRPr="0059378C">
        <w:t>The beneficiary</w:t>
      </w:r>
      <w:r w:rsidR="001A6DCB">
        <w:t>’</w:t>
      </w:r>
      <w:r w:rsidRPr="0059378C">
        <w:t xml:space="preserve">s needs in the present and </w:t>
      </w:r>
      <w:proofErr w:type="gramStart"/>
      <w:r w:rsidRPr="0059378C">
        <w:t>future;</w:t>
      </w:r>
      <w:proofErr w:type="gramEnd"/>
    </w:p>
    <w:p w14:paraId="047C937B" w14:textId="77777777" w:rsidR="003A0665" w:rsidRPr="0059378C" w:rsidRDefault="003A0665" w:rsidP="00561F7C">
      <w:pPr>
        <w:pStyle w:val="b-bodytext"/>
        <w:numPr>
          <w:ilvl w:val="0"/>
          <w:numId w:val="9"/>
        </w:numPr>
        <w:spacing w:line="480" w:lineRule="auto"/>
        <w:ind w:left="810"/>
      </w:pPr>
      <w:r w:rsidRPr="0059378C">
        <w:t>The other resources available to the beneficiary; and</w:t>
      </w:r>
    </w:p>
    <w:p w14:paraId="3A3287A9" w14:textId="1E6AF160" w:rsidR="003A0665" w:rsidRDefault="003A0665" w:rsidP="00561F7C">
      <w:pPr>
        <w:pStyle w:val="b-bodytext"/>
        <w:numPr>
          <w:ilvl w:val="0"/>
          <w:numId w:val="9"/>
        </w:numPr>
        <w:spacing w:line="480" w:lineRule="auto"/>
        <w:ind w:left="810"/>
      </w:pPr>
      <w:r w:rsidRPr="0059378C">
        <w:t>The beneficiary</w:t>
      </w:r>
      <w:r w:rsidR="001A6DCB">
        <w:t>’</w:t>
      </w:r>
      <w:r w:rsidRPr="0059378C">
        <w:t>s mental and physical health, both present and future.</w:t>
      </w:r>
      <w:r w:rsidRPr="0059378C">
        <w:rPr>
          <w:rStyle w:val="FootnoteReference"/>
          <w:rFonts w:cs="Times New Roman"/>
        </w:rPr>
        <w:footnoteReference w:id="157"/>
      </w:r>
    </w:p>
    <w:p w14:paraId="2B26AD59" w14:textId="77777777" w:rsidR="003A0665" w:rsidRDefault="003A0665" w:rsidP="00561F7C">
      <w:pPr>
        <w:pStyle w:val="a-4thSubHead"/>
        <w:spacing w:line="480" w:lineRule="auto"/>
      </w:pPr>
      <w:bookmarkStart w:id="66" w:name="_Toc31203606"/>
      <w:r w:rsidRPr="0059378C">
        <w:lastRenderedPageBreak/>
        <w:t>b.  Factors to Consider in Interpreting Distribution Standards</w:t>
      </w:r>
      <w:bookmarkEnd w:id="66"/>
    </w:p>
    <w:p w14:paraId="55BFD1D5" w14:textId="77777777" w:rsidR="003A0665" w:rsidRDefault="003A0665" w:rsidP="00561F7C">
      <w:pPr>
        <w:pStyle w:val="a-5thSubHead"/>
        <w:spacing w:line="480" w:lineRule="auto"/>
        <w:rPr>
          <w:iCs/>
        </w:rPr>
      </w:pPr>
      <w:bookmarkStart w:id="67" w:name="_Toc31203607"/>
      <w:proofErr w:type="spellStart"/>
      <w:r w:rsidRPr="007E12F8">
        <w:t>i</w:t>
      </w:r>
      <w:proofErr w:type="spellEnd"/>
      <w:r w:rsidRPr="007E12F8">
        <w:t>.  Trust Size</w:t>
      </w:r>
      <w:bookmarkEnd w:id="67"/>
    </w:p>
    <w:p w14:paraId="6A8CAB40" w14:textId="046E8E89" w:rsidR="003A0665" w:rsidRPr="0059378C" w:rsidRDefault="003A0665" w:rsidP="00561F7C">
      <w:pPr>
        <w:pStyle w:val="b-bodytext"/>
        <w:spacing w:line="480" w:lineRule="auto"/>
        <w:rPr>
          <w:b/>
        </w:rPr>
      </w:pPr>
      <w:r w:rsidRPr="0059378C">
        <w:t>Interpreting the terms of the trust requires the trustee to balance all relevant factors.</w:t>
      </w:r>
      <w:r w:rsidRPr="0059378C">
        <w:rPr>
          <w:rStyle w:val="FootnoteReference"/>
        </w:rPr>
        <w:footnoteReference w:id="158"/>
      </w:r>
      <w:r w:rsidRPr="0059378C">
        <w:t xml:space="preserve"> </w:t>
      </w:r>
      <w:r w:rsidR="00F0012A">
        <w:t> </w:t>
      </w:r>
      <w:r w:rsidRPr="0059378C">
        <w:t>The Restatement provides that the standard may be increased if either: (1) the beneficiary</w:t>
      </w:r>
      <w:r w:rsidR="001A6DCB">
        <w:t>’</w:t>
      </w:r>
      <w:r w:rsidRPr="0059378C">
        <w:t xml:space="preserve">s standard of living has increased, but </w:t>
      </w:r>
      <w:proofErr w:type="gramStart"/>
      <w:r w:rsidRPr="0059378C">
        <w:t>remains  consistent</w:t>
      </w:r>
      <w:proofErr w:type="gramEnd"/>
      <w:r w:rsidRPr="0059378C">
        <w:t xml:space="preserve"> with the trust</w:t>
      </w:r>
      <w:r w:rsidR="001A6DCB">
        <w:t>’</w:t>
      </w:r>
      <w:r w:rsidRPr="0059378C">
        <w:t>s productivity; or (2) failing to increase the beneficiary</w:t>
      </w:r>
      <w:r w:rsidR="001A6DCB">
        <w:t>’</w:t>
      </w:r>
      <w:r w:rsidRPr="0059378C">
        <w:t xml:space="preserve">s standard of living results in the current beneficiaries receiving less favor </w:t>
      </w:r>
      <w:r w:rsidR="00F44C39" w:rsidRPr="0059378C">
        <w:t>than the</w:t>
      </w:r>
      <w:r w:rsidRPr="0059378C">
        <w:t xml:space="preserve"> remainder beneficiaries.</w:t>
      </w:r>
      <w:r w:rsidRPr="0059378C">
        <w:rPr>
          <w:rStyle w:val="FootnoteReference"/>
        </w:rPr>
        <w:footnoteReference w:id="159"/>
      </w:r>
    </w:p>
    <w:p w14:paraId="3192AC31" w14:textId="77777777" w:rsidR="003A0665" w:rsidRDefault="003A0665" w:rsidP="00561F7C">
      <w:pPr>
        <w:pStyle w:val="a-5thSubHead"/>
        <w:spacing w:line="480" w:lineRule="auto"/>
        <w:rPr>
          <w:iCs/>
        </w:rPr>
      </w:pPr>
      <w:bookmarkStart w:id="68" w:name="_Toc31203608"/>
      <w:r w:rsidRPr="007E12F8">
        <w:t>ii.  Standard of Living</w:t>
      </w:r>
      <w:bookmarkEnd w:id="68"/>
    </w:p>
    <w:p w14:paraId="754E9324" w14:textId="30CDE2FC" w:rsidR="003A0665" w:rsidRPr="0059378C" w:rsidRDefault="003A0665" w:rsidP="00561F7C">
      <w:pPr>
        <w:pStyle w:val="b-bodytext"/>
        <w:spacing w:line="480" w:lineRule="auto"/>
      </w:pPr>
      <w:r w:rsidRPr="0059378C">
        <w:t xml:space="preserve">Trust distribution standards may direct a trustee to distribute the trust estate pursuant to a HEMS standard, </w:t>
      </w:r>
      <w:r w:rsidR="005603C0">
        <w:t xml:space="preserve">but then further direct the trustee to make this determination by </w:t>
      </w:r>
      <w:r w:rsidRPr="0059378C">
        <w:t>taking into consideration the beneficiary</w:t>
      </w:r>
      <w:r w:rsidR="001A6DCB">
        <w:t>’</w:t>
      </w:r>
      <w:r w:rsidRPr="0059378C">
        <w:t>s standard of living at the settlor</w:t>
      </w:r>
      <w:r w:rsidR="001A6DCB">
        <w:t>’</w:t>
      </w:r>
      <w:r w:rsidRPr="0059378C">
        <w:t>s date of death or at the date that the trust agreement was signed.</w:t>
      </w:r>
      <w:r w:rsidR="001A6DCB">
        <w:t>”</w:t>
      </w:r>
      <w:r w:rsidRPr="0059378C">
        <w:rPr>
          <w:rStyle w:val="FootnoteReference"/>
        </w:rPr>
        <w:footnoteReference w:id="160"/>
      </w:r>
      <w:r w:rsidRPr="0059378C">
        <w:t xml:space="preserve">  Each determining date presents its own challenges.</w:t>
      </w:r>
      <w:r w:rsidRPr="0059378C">
        <w:rPr>
          <w:rStyle w:val="FootnoteReference"/>
        </w:rPr>
        <w:footnoteReference w:id="161"/>
      </w:r>
    </w:p>
    <w:p w14:paraId="626FC95B" w14:textId="5B8365FF" w:rsidR="003A0665" w:rsidRPr="0059378C" w:rsidRDefault="003A0665" w:rsidP="00561F7C">
      <w:pPr>
        <w:pStyle w:val="b-bodytext"/>
        <w:spacing w:line="480" w:lineRule="auto"/>
      </w:pPr>
      <w:r w:rsidRPr="0059378C">
        <w:lastRenderedPageBreak/>
        <w:t>On one hand, trust distributions tied to the beneficiary</w:t>
      </w:r>
      <w:r w:rsidR="001A6DCB">
        <w:t>’</w:t>
      </w:r>
      <w:r w:rsidRPr="0059378C">
        <w:t xml:space="preserve">s standard of living when the trust agreement was signed make sense given that the settlor was </w:t>
      </w:r>
      <w:r w:rsidR="005603C0">
        <w:t xml:space="preserve">presumably </w:t>
      </w:r>
      <w:r w:rsidRPr="0059378C">
        <w:t>aware of the beneficiary</w:t>
      </w:r>
      <w:r w:rsidR="001A6DCB">
        <w:t>’</w:t>
      </w:r>
      <w:r w:rsidRPr="0059378C">
        <w:t xml:space="preserve">s lifestyle </w:t>
      </w:r>
      <w:r w:rsidR="005603C0">
        <w:t xml:space="preserve">at that time </w:t>
      </w:r>
      <w:r w:rsidRPr="0059378C">
        <w:t>and likely intended for the beneficiary to maintain</w:t>
      </w:r>
      <w:r w:rsidR="005603C0">
        <w:t xml:space="preserve"> said lifestyle</w:t>
      </w:r>
      <w:r w:rsidRPr="0059378C">
        <w:t>.</w:t>
      </w:r>
      <w:r w:rsidRPr="0059378C">
        <w:rPr>
          <w:rStyle w:val="FootnoteReference"/>
        </w:rPr>
        <w:footnoteReference w:id="162"/>
      </w:r>
      <w:r w:rsidRPr="0059378C">
        <w:t xml:space="preserve">  However, </w:t>
      </w:r>
      <w:r w:rsidRPr="0059378C">
        <w:rPr>
          <w:rFonts w:eastAsiaTheme="majorEastAsia"/>
        </w:rPr>
        <w:t>tying a standard of living to the date that the trust instrument is signed can be a significant burden for a trustee to accurately capture and keep records that reflect a complete picture of a beneficiary</w:t>
      </w:r>
      <w:r w:rsidR="001A6DCB">
        <w:rPr>
          <w:rFonts w:eastAsiaTheme="majorEastAsia"/>
        </w:rPr>
        <w:t>’</w:t>
      </w:r>
      <w:r w:rsidRPr="0059378C">
        <w:rPr>
          <w:rFonts w:eastAsiaTheme="majorEastAsia"/>
        </w:rPr>
        <w:t>s lifestyle.</w:t>
      </w:r>
      <w:r w:rsidRPr="0059378C">
        <w:rPr>
          <w:rStyle w:val="FootnoteReference"/>
          <w:rFonts w:eastAsiaTheme="majorEastAsia"/>
        </w:rPr>
        <w:footnoteReference w:id="163"/>
      </w:r>
      <w:r w:rsidRPr="0059378C">
        <w:rPr>
          <w:rFonts w:eastAsiaTheme="majorEastAsia"/>
        </w:rPr>
        <w:t xml:space="preserve">  </w:t>
      </w:r>
      <w:r w:rsidR="008B3810">
        <w:rPr>
          <w:rFonts w:eastAsiaTheme="majorEastAsia"/>
        </w:rPr>
        <w:t xml:space="preserve">Distribution standards intended to maintain a beneficiary’s lifestyle at date of signing can be particularly problematic if the actual trust is a </w:t>
      </w:r>
      <w:r w:rsidRPr="0059378C">
        <w:rPr>
          <w:rFonts w:eastAsiaTheme="majorEastAsia"/>
        </w:rPr>
        <w:t xml:space="preserve">testamentary trust </w:t>
      </w:r>
      <w:r w:rsidR="008B3810">
        <w:rPr>
          <w:rFonts w:eastAsiaTheme="majorEastAsia"/>
        </w:rPr>
        <w:t xml:space="preserve">and </w:t>
      </w:r>
      <w:r w:rsidRPr="0059378C">
        <w:rPr>
          <w:rFonts w:eastAsiaTheme="majorEastAsia"/>
        </w:rPr>
        <w:t xml:space="preserve"> not even created, and the trustee </w:t>
      </w:r>
      <w:r w:rsidR="008B3810">
        <w:rPr>
          <w:rFonts w:eastAsiaTheme="majorEastAsia"/>
        </w:rPr>
        <w:t>not appointed,</w:t>
      </w:r>
      <w:r w:rsidRPr="0059378C">
        <w:rPr>
          <w:rFonts w:eastAsiaTheme="majorEastAsia"/>
        </w:rPr>
        <w:t xml:space="preserve"> until a later time</w:t>
      </w:r>
      <w:r w:rsidR="003C2A77">
        <w:rPr>
          <w:rFonts w:eastAsiaTheme="majorEastAsia"/>
        </w:rPr>
        <w:t>.</w:t>
      </w:r>
      <w:r w:rsidRPr="0059378C">
        <w:rPr>
          <w:rStyle w:val="FootnoteReference"/>
          <w:rFonts w:eastAsiaTheme="majorEastAsia"/>
        </w:rPr>
        <w:footnoteReference w:id="164"/>
      </w:r>
    </w:p>
    <w:p w14:paraId="758C9CDE" w14:textId="0CB16F5B" w:rsidR="003A0665" w:rsidRPr="0059378C" w:rsidRDefault="003A0665" w:rsidP="00561F7C">
      <w:pPr>
        <w:pStyle w:val="b-bodytext"/>
        <w:spacing w:line="480" w:lineRule="auto"/>
      </w:pPr>
      <w:r w:rsidRPr="0059378C">
        <w:t xml:space="preserve">On the other hand, tying a distribution standard in a testamentary trust </w:t>
      </w:r>
      <w:r w:rsidR="008B3810">
        <w:t>to maintain a beneficiary’s lifestyle the</w:t>
      </w:r>
      <w:r w:rsidRPr="0059378C">
        <w:t xml:space="preserve"> settlor</w:t>
      </w:r>
      <w:r w:rsidR="001A6DCB">
        <w:t>’</w:t>
      </w:r>
      <w:r w:rsidRPr="0059378C">
        <w:t>s death may be somewhat easier to document from a trustee</w:t>
      </w:r>
      <w:r w:rsidR="001A6DCB">
        <w:t>’</w:t>
      </w:r>
      <w:r w:rsidRPr="0059378C">
        <w:t>s perspective, but depending on how often the settlor updated his estate plans, the beneficiary</w:t>
      </w:r>
      <w:r w:rsidR="001A6DCB">
        <w:t>’</w:t>
      </w:r>
      <w:r w:rsidRPr="0059378C">
        <w:t xml:space="preserve">s standard of living may be significantly different </w:t>
      </w:r>
      <w:r w:rsidR="008B3810">
        <w:t>than it was on</w:t>
      </w:r>
      <w:r w:rsidRPr="0059378C">
        <w:t xml:space="preserve"> the date that the </w:t>
      </w:r>
      <w:r w:rsidR="008B3810">
        <w:t>underlying testamentary document</w:t>
      </w:r>
      <w:r w:rsidRPr="0059378C">
        <w:t xml:space="preserve"> was signed.</w:t>
      </w:r>
      <w:r w:rsidRPr="0059378C">
        <w:rPr>
          <w:rStyle w:val="FootnoteReference"/>
        </w:rPr>
        <w:footnoteReference w:id="165"/>
      </w:r>
    </w:p>
    <w:p w14:paraId="2E6AF7AC" w14:textId="7A78D694" w:rsidR="003A0665" w:rsidRPr="0059378C" w:rsidRDefault="003A0665" w:rsidP="00561F7C">
      <w:pPr>
        <w:pStyle w:val="b-bodytext"/>
        <w:spacing w:line="480" w:lineRule="auto"/>
      </w:pPr>
      <w:r w:rsidRPr="0059378C">
        <w:t>Regardless of the date when a beneficiary</w:t>
      </w:r>
      <w:r w:rsidR="001A6DCB">
        <w:t>’</w:t>
      </w:r>
      <w:r w:rsidRPr="0059378C">
        <w:t>s standard of living is determined, basing distributions on a snapshot of any beneficiary</w:t>
      </w:r>
      <w:r w:rsidR="001A6DCB">
        <w:t>’</w:t>
      </w:r>
      <w:r w:rsidRPr="0059378C">
        <w:t>s life</w:t>
      </w:r>
      <w:r w:rsidR="008B3810">
        <w:t xml:space="preserve">style </w:t>
      </w:r>
      <w:r w:rsidR="008B3810">
        <w:lastRenderedPageBreak/>
        <w:t>at any specific time</w:t>
      </w:r>
      <w:r w:rsidRPr="0059378C">
        <w:t xml:space="preserve"> presents issues.</w:t>
      </w:r>
      <w:r w:rsidRPr="0059378C">
        <w:rPr>
          <w:rStyle w:val="FootnoteReference"/>
        </w:rPr>
        <w:footnoteReference w:id="166"/>
      </w:r>
      <w:r w:rsidRPr="0059378C">
        <w:t xml:space="preserve">  A college-age beneficiary may be living in a relatively low-cost apartment and subsisting on university food services and pizza when a trust is created.</w:t>
      </w:r>
      <w:r w:rsidRPr="0059378C">
        <w:rPr>
          <w:rStyle w:val="FootnoteReference"/>
        </w:rPr>
        <w:footnoteReference w:id="167"/>
      </w:r>
      <w:r w:rsidRPr="0059378C">
        <w:t xml:space="preserve">  This is not particularly unusual, but it is also presumably not what the settlor intends the trustee to </w:t>
      </w:r>
      <w:r w:rsidR="008B3810">
        <w:t>base</w:t>
      </w:r>
      <w:r w:rsidRPr="0059378C">
        <w:t xml:space="preserve"> distribution determinations</w:t>
      </w:r>
      <w:r w:rsidR="008B3810">
        <w:t xml:space="preserve"> on</w:t>
      </w:r>
      <w:r w:rsidRPr="0059378C">
        <w:t xml:space="preserve"> for the remainder of the beneficiary</w:t>
      </w:r>
      <w:r w:rsidR="001A6DCB">
        <w:t>’</w:t>
      </w:r>
      <w:r w:rsidRPr="0059378C">
        <w:t>s lifetime.</w:t>
      </w:r>
      <w:r w:rsidRPr="0059378C">
        <w:rPr>
          <w:rStyle w:val="FootnoteReference"/>
        </w:rPr>
        <w:footnoteReference w:id="168"/>
      </w:r>
    </w:p>
    <w:p w14:paraId="58AC413F" w14:textId="08CCE6BA" w:rsidR="003A0665" w:rsidRDefault="0036267F" w:rsidP="00561F7C">
      <w:pPr>
        <w:pStyle w:val="b-bodytext"/>
        <w:spacing w:line="480" w:lineRule="auto"/>
        <w:rPr>
          <w:rFonts w:eastAsiaTheme="majorEastAsia"/>
        </w:rPr>
      </w:pPr>
      <w:r>
        <w:rPr>
          <w:rFonts w:eastAsiaTheme="majorEastAsia"/>
        </w:rPr>
        <w:t>I</w:t>
      </w:r>
      <w:r w:rsidR="003A0665" w:rsidRPr="0059378C">
        <w:rPr>
          <w:rFonts w:eastAsiaTheme="majorEastAsia"/>
        </w:rPr>
        <w:t xml:space="preserve">f using </w:t>
      </w:r>
      <w:r w:rsidR="001A6DCB">
        <w:rPr>
          <w:rFonts w:eastAsiaTheme="majorEastAsia"/>
        </w:rPr>
        <w:t>“</w:t>
      </w:r>
      <w:r w:rsidR="003A0665" w:rsidRPr="0059378C">
        <w:rPr>
          <w:rFonts w:eastAsiaTheme="majorEastAsia"/>
        </w:rPr>
        <w:t>standard of living</w:t>
      </w:r>
      <w:r w:rsidR="001A6DCB">
        <w:rPr>
          <w:rFonts w:eastAsiaTheme="majorEastAsia"/>
        </w:rPr>
        <w:t>”</w:t>
      </w:r>
      <w:r w:rsidR="003A0665" w:rsidRPr="0059378C">
        <w:rPr>
          <w:rFonts w:eastAsiaTheme="majorEastAsia"/>
        </w:rPr>
        <w:t xml:space="preserve"> language in a trust instrument, consider also adding a provision with suggested documentation that the trustee may request from the beneficiary in order to determine his or her living standard as well as how often the trustees </w:t>
      </w:r>
      <w:proofErr w:type="gramStart"/>
      <w:r w:rsidR="003A0665" w:rsidRPr="0059378C">
        <w:rPr>
          <w:rFonts w:eastAsiaTheme="majorEastAsia"/>
        </w:rPr>
        <w:t>needs</w:t>
      </w:r>
      <w:proofErr w:type="gramEnd"/>
      <w:r w:rsidR="003A0665" w:rsidRPr="0059378C">
        <w:rPr>
          <w:rFonts w:eastAsiaTheme="majorEastAsia"/>
        </w:rPr>
        <w:t xml:space="preserve"> to re-examine a beneficiary</w:t>
      </w:r>
      <w:r w:rsidR="001A6DCB">
        <w:rPr>
          <w:rFonts w:eastAsiaTheme="majorEastAsia"/>
        </w:rPr>
        <w:t>’</w:t>
      </w:r>
      <w:r w:rsidR="003A0665" w:rsidRPr="0059378C">
        <w:rPr>
          <w:rFonts w:eastAsiaTheme="majorEastAsia"/>
        </w:rPr>
        <w:t>s outside resources.</w:t>
      </w:r>
      <w:r w:rsidR="003A0665" w:rsidRPr="0059378C">
        <w:rPr>
          <w:rStyle w:val="FootnoteReference"/>
          <w:rFonts w:eastAsiaTheme="majorEastAsia"/>
        </w:rPr>
        <w:footnoteReference w:id="169"/>
      </w:r>
      <w:r w:rsidR="003A0665" w:rsidRPr="0059378C">
        <w:rPr>
          <w:rFonts w:eastAsiaTheme="majorEastAsia"/>
        </w:rPr>
        <w:t xml:space="preserve">  If an individual is serving as trustee, the settlor may also consider the inclusion of exculpatory language if these record-keeping procedures are not strictly followed.</w:t>
      </w:r>
      <w:r w:rsidR="003A0665" w:rsidRPr="0059378C">
        <w:rPr>
          <w:rStyle w:val="FootnoteReference"/>
          <w:rFonts w:eastAsiaTheme="majorEastAsia"/>
        </w:rPr>
        <w:footnoteReference w:id="170"/>
      </w:r>
    </w:p>
    <w:p w14:paraId="634FFDD4" w14:textId="77777777" w:rsidR="003A0665" w:rsidRPr="0059378C" w:rsidRDefault="003A0665" w:rsidP="00561F7C">
      <w:pPr>
        <w:spacing w:line="480" w:lineRule="auto"/>
        <w:rPr>
          <w:rFonts w:eastAsiaTheme="majorEastAsia"/>
        </w:rPr>
      </w:pPr>
    </w:p>
    <w:p w14:paraId="0EC99618" w14:textId="77777777" w:rsidR="003A0665" w:rsidRDefault="003A0665" w:rsidP="00561F7C">
      <w:pPr>
        <w:pStyle w:val="a-5thSubHead"/>
        <w:spacing w:line="480" w:lineRule="auto"/>
        <w:rPr>
          <w:iCs/>
        </w:rPr>
      </w:pPr>
      <w:bookmarkStart w:id="69" w:name="_Toc31203609"/>
      <w:r w:rsidRPr="007E12F8">
        <w:lastRenderedPageBreak/>
        <w:t>iii.  Present Versus Future Needs</w:t>
      </w:r>
      <w:bookmarkEnd w:id="69"/>
    </w:p>
    <w:p w14:paraId="42648167" w14:textId="4BC3B157" w:rsidR="003A0665" w:rsidRPr="0059378C" w:rsidRDefault="003A0665" w:rsidP="0014127B">
      <w:pPr>
        <w:pStyle w:val="b-bodytext"/>
        <w:tabs>
          <w:tab w:val="clear" w:pos="440"/>
        </w:tabs>
        <w:spacing w:line="480" w:lineRule="auto"/>
      </w:pPr>
      <w:r w:rsidRPr="0059378C">
        <w:t xml:space="preserve">When making distributions, </w:t>
      </w:r>
      <w:r w:rsidR="003C2A77" w:rsidRPr="0059378C">
        <w:t xml:space="preserve">present and future </w:t>
      </w:r>
      <w:r w:rsidRPr="0059378C">
        <w:t xml:space="preserve">needs of the beneficiary </w:t>
      </w:r>
      <w:r w:rsidR="0092323E">
        <w:t>must be considered</w:t>
      </w:r>
      <w:r w:rsidRPr="0059378C">
        <w:t xml:space="preserve"> by the trustee.</w:t>
      </w:r>
      <w:r w:rsidRPr="0059378C">
        <w:rPr>
          <w:rStyle w:val="FootnoteReference"/>
        </w:rPr>
        <w:footnoteReference w:id="171"/>
      </w:r>
      <w:r w:rsidRPr="0059378C">
        <w:t xml:space="preserve"> </w:t>
      </w:r>
      <w:r w:rsidR="00F0012A">
        <w:t> </w:t>
      </w:r>
      <w:r w:rsidR="0092323E">
        <w:t xml:space="preserve">The trustee faces a tough decision if </w:t>
      </w:r>
      <w:r w:rsidRPr="0059378C">
        <w:t>the trust is potentially insufficient to provide for both needs,.</w:t>
      </w:r>
      <w:r w:rsidRPr="0059378C">
        <w:rPr>
          <w:rStyle w:val="FootnoteReference"/>
        </w:rPr>
        <w:footnoteReference w:id="172"/>
      </w:r>
      <w:r w:rsidR="0092323E">
        <w:t xml:space="preserve"> Hardly any courts have addressed this issue and </w:t>
      </w:r>
      <w:r w:rsidRPr="0059378C">
        <w:t xml:space="preserve">their holdings </w:t>
      </w:r>
      <w:r w:rsidR="0092323E">
        <w:t>are inconsistent</w:t>
      </w:r>
      <w:r w:rsidRPr="0059378C">
        <w:rPr>
          <w:rStyle w:val="FootnoteReference"/>
        </w:rPr>
        <w:footnoteReference w:id="173"/>
      </w:r>
      <w:r w:rsidRPr="0059378C">
        <w:t xml:space="preserve">  A comparison of </w:t>
      </w:r>
      <w:r w:rsidRPr="0059378C">
        <w:rPr>
          <w:i/>
          <w:iCs/>
        </w:rPr>
        <w:t xml:space="preserve">State v. </w:t>
      </w:r>
      <w:proofErr w:type="spellStart"/>
      <w:r w:rsidRPr="0059378C">
        <w:rPr>
          <w:i/>
          <w:iCs/>
        </w:rPr>
        <w:t>Rubion</w:t>
      </w:r>
      <w:proofErr w:type="spellEnd"/>
      <w:r w:rsidRPr="0059378C">
        <w:rPr>
          <w:i/>
          <w:iCs/>
        </w:rPr>
        <w:t xml:space="preserve"> </w:t>
      </w:r>
      <w:r w:rsidRPr="0059378C">
        <w:t xml:space="preserve">and </w:t>
      </w:r>
      <w:proofErr w:type="spellStart"/>
      <w:r w:rsidRPr="0059378C">
        <w:rPr>
          <w:i/>
          <w:iCs/>
        </w:rPr>
        <w:t>Penix</w:t>
      </w:r>
      <w:proofErr w:type="spellEnd"/>
      <w:r w:rsidRPr="0059378C">
        <w:rPr>
          <w:i/>
          <w:iCs/>
        </w:rPr>
        <w:t xml:space="preserve"> v. First National Bank of Paris </w:t>
      </w:r>
      <w:r w:rsidRPr="0059378C">
        <w:t>highlights these inconsistencies.</w:t>
      </w:r>
      <w:r w:rsidRPr="0059378C">
        <w:rPr>
          <w:rStyle w:val="FootnoteReference"/>
          <w:iCs/>
        </w:rPr>
        <w:footnoteReference w:id="174"/>
      </w:r>
    </w:p>
    <w:p w14:paraId="24C52D9A" w14:textId="2D69C45D" w:rsidR="003A0665" w:rsidRPr="0014127B" w:rsidRDefault="003A0665" w:rsidP="0014127B">
      <w:pPr>
        <w:pStyle w:val="b-bodytext"/>
        <w:tabs>
          <w:tab w:val="clear" w:pos="440"/>
        </w:tabs>
        <w:spacing w:line="480" w:lineRule="auto"/>
        <w:ind w:left="720" w:right="870" w:firstLine="450"/>
        <w:rPr>
          <w:sz w:val="20"/>
          <w:szCs w:val="20"/>
        </w:rPr>
      </w:pPr>
      <w:r w:rsidRPr="0014127B">
        <w:rPr>
          <w:sz w:val="20"/>
          <w:szCs w:val="20"/>
        </w:rPr>
        <w:t xml:space="preserve">In </w:t>
      </w:r>
      <w:proofErr w:type="spellStart"/>
      <w:r w:rsidRPr="0014127B">
        <w:rPr>
          <w:i/>
          <w:sz w:val="20"/>
          <w:szCs w:val="20"/>
        </w:rPr>
        <w:t>Rubion</w:t>
      </w:r>
      <w:proofErr w:type="spellEnd"/>
      <w:r w:rsidRPr="0014127B">
        <w:rPr>
          <w:sz w:val="20"/>
          <w:szCs w:val="20"/>
        </w:rPr>
        <w:t>, the Texas Supreme Court ruled that the trustee had abused his discretion by refusing to invade the principal of the trust to make payments for the beneficiary</w:t>
      </w:r>
      <w:r w:rsidR="001A6DCB" w:rsidRPr="0014127B">
        <w:rPr>
          <w:sz w:val="20"/>
          <w:szCs w:val="20"/>
        </w:rPr>
        <w:t>’</w:t>
      </w:r>
      <w:r w:rsidRPr="0014127B">
        <w:rPr>
          <w:sz w:val="20"/>
          <w:szCs w:val="20"/>
        </w:rPr>
        <w:t>s care while she was in a state mental hospital.</w:t>
      </w:r>
      <w:r w:rsidRPr="0014127B">
        <w:rPr>
          <w:rStyle w:val="FootnoteReference"/>
          <w:sz w:val="20"/>
          <w:szCs w:val="20"/>
        </w:rPr>
        <w:footnoteReference w:id="175"/>
      </w:r>
      <w:r w:rsidRPr="0014127B">
        <w:rPr>
          <w:sz w:val="20"/>
          <w:szCs w:val="20"/>
        </w:rPr>
        <w:t xml:space="preserve">  The trustee argued that he was within his discretion to withhold payments of principal because the corpus of the trust should be preserved for the beneficiary</w:t>
      </w:r>
      <w:r w:rsidR="001A6DCB" w:rsidRPr="0014127B">
        <w:rPr>
          <w:sz w:val="20"/>
          <w:szCs w:val="20"/>
        </w:rPr>
        <w:t>’</w:t>
      </w:r>
      <w:r w:rsidRPr="0014127B">
        <w:rPr>
          <w:sz w:val="20"/>
          <w:szCs w:val="20"/>
        </w:rPr>
        <w:t>s support if she were ever discharged from the hospital.</w:t>
      </w:r>
      <w:r w:rsidRPr="0014127B">
        <w:rPr>
          <w:rStyle w:val="FootnoteReference"/>
          <w:sz w:val="20"/>
          <w:szCs w:val="20"/>
        </w:rPr>
        <w:footnoteReference w:id="176"/>
      </w:r>
      <w:r w:rsidRPr="0014127B">
        <w:rPr>
          <w:sz w:val="20"/>
          <w:szCs w:val="20"/>
        </w:rPr>
        <w:t xml:space="preserve">  Further, that if the trust corpus were used to pay all of her medical care it would completely destroy the trust.</w:t>
      </w:r>
      <w:r w:rsidRPr="0014127B">
        <w:rPr>
          <w:rStyle w:val="FootnoteReference"/>
          <w:sz w:val="20"/>
          <w:szCs w:val="20"/>
        </w:rPr>
        <w:footnoteReference w:id="177"/>
      </w:r>
      <w:r w:rsidRPr="0014127B">
        <w:rPr>
          <w:sz w:val="20"/>
          <w:szCs w:val="20"/>
        </w:rPr>
        <w:t xml:space="preserve">  Disagreeing, the court </w:t>
      </w:r>
      <w:r w:rsidRPr="0014127B">
        <w:rPr>
          <w:sz w:val="20"/>
          <w:szCs w:val="20"/>
        </w:rPr>
        <w:lastRenderedPageBreak/>
        <w:t>held the trustee abused his discretion by withholding the entire principal, and the trustee should have determined what amount could have been distributed and distribute such amounts while still preserving the long-term health of the trust.</w:t>
      </w:r>
      <w:r w:rsidRPr="0014127B">
        <w:rPr>
          <w:rStyle w:val="FootnoteReference"/>
          <w:sz w:val="20"/>
          <w:szCs w:val="20"/>
        </w:rPr>
        <w:footnoteReference w:id="178"/>
      </w:r>
    </w:p>
    <w:p w14:paraId="3B7336FA" w14:textId="2CD30AC1" w:rsidR="003A0665" w:rsidRPr="0014127B" w:rsidRDefault="003A0665" w:rsidP="0014127B">
      <w:pPr>
        <w:pStyle w:val="b-bodytext"/>
        <w:tabs>
          <w:tab w:val="clear" w:pos="440"/>
        </w:tabs>
        <w:spacing w:line="480" w:lineRule="auto"/>
        <w:ind w:left="720" w:right="780" w:firstLine="450"/>
        <w:rPr>
          <w:sz w:val="20"/>
          <w:szCs w:val="20"/>
        </w:rPr>
      </w:pPr>
      <w:r w:rsidRPr="0014127B">
        <w:rPr>
          <w:sz w:val="20"/>
          <w:szCs w:val="20"/>
        </w:rPr>
        <w:t xml:space="preserve">On the other hand, in </w:t>
      </w:r>
      <w:proofErr w:type="spellStart"/>
      <w:r w:rsidRPr="0014127B">
        <w:rPr>
          <w:i/>
          <w:sz w:val="20"/>
          <w:szCs w:val="20"/>
        </w:rPr>
        <w:t>Penix</w:t>
      </w:r>
      <w:proofErr w:type="spellEnd"/>
      <w:r w:rsidRPr="0014127B">
        <w:rPr>
          <w:sz w:val="20"/>
          <w:szCs w:val="20"/>
        </w:rPr>
        <w:t>, the appellate court ruled that a trustee was within its discretion to withhold current distributions of principal as well as income, in order to meet the future needs of the beneficiary.</w:t>
      </w:r>
      <w:r w:rsidRPr="0014127B">
        <w:rPr>
          <w:rStyle w:val="FootnoteReference"/>
          <w:sz w:val="20"/>
          <w:szCs w:val="20"/>
        </w:rPr>
        <w:footnoteReference w:id="179"/>
      </w:r>
      <w:r w:rsidRPr="0014127B">
        <w:rPr>
          <w:sz w:val="20"/>
          <w:szCs w:val="20"/>
        </w:rPr>
        <w:t xml:space="preserve">  In this case, the beneficiary was a 9-year old girl, and the trustee argued successfully that the income produced from the trust was well in excess of what was needed for the beneficiary</w:t>
      </w:r>
      <w:r w:rsidR="001A6DCB" w:rsidRPr="0014127B">
        <w:rPr>
          <w:sz w:val="20"/>
          <w:szCs w:val="20"/>
        </w:rPr>
        <w:t>’</w:t>
      </w:r>
      <w:r w:rsidRPr="0014127B">
        <w:rPr>
          <w:sz w:val="20"/>
          <w:szCs w:val="20"/>
        </w:rPr>
        <w:t>s current support.</w:t>
      </w:r>
      <w:r w:rsidRPr="0014127B">
        <w:rPr>
          <w:rStyle w:val="FootnoteReference"/>
          <w:sz w:val="20"/>
          <w:szCs w:val="20"/>
        </w:rPr>
        <w:footnoteReference w:id="180"/>
      </w:r>
      <w:r w:rsidRPr="0014127B">
        <w:rPr>
          <w:sz w:val="20"/>
          <w:szCs w:val="20"/>
        </w:rPr>
        <w:t xml:space="preserve"> </w:t>
      </w:r>
      <w:r w:rsidR="001D54E1" w:rsidRPr="0014127B">
        <w:rPr>
          <w:sz w:val="20"/>
          <w:szCs w:val="20"/>
        </w:rPr>
        <w:t> </w:t>
      </w:r>
      <w:r w:rsidRPr="0014127B">
        <w:rPr>
          <w:sz w:val="20"/>
          <w:szCs w:val="20"/>
        </w:rPr>
        <w:t>The trustee contended that any excess income above the beneficiary</w:t>
      </w:r>
      <w:r w:rsidR="001A6DCB" w:rsidRPr="0014127B">
        <w:rPr>
          <w:sz w:val="20"/>
          <w:szCs w:val="20"/>
        </w:rPr>
        <w:t>’</w:t>
      </w:r>
      <w:r w:rsidRPr="0014127B">
        <w:rPr>
          <w:sz w:val="20"/>
          <w:szCs w:val="20"/>
        </w:rPr>
        <w:t>s current needs should be held in reserve for emergencies.</w:t>
      </w:r>
      <w:r w:rsidRPr="0014127B">
        <w:rPr>
          <w:rStyle w:val="FootnoteReference"/>
          <w:sz w:val="20"/>
          <w:szCs w:val="20"/>
        </w:rPr>
        <w:footnoteReference w:id="181"/>
      </w:r>
      <w:r w:rsidRPr="0014127B">
        <w:rPr>
          <w:sz w:val="20"/>
          <w:szCs w:val="20"/>
        </w:rPr>
        <w:t xml:space="preserve">  The court found that the trustee was within its discretion, relying heavily on the language granting the trustee the power to carry out the terms of the trust </w:t>
      </w:r>
      <w:r w:rsidR="001A6DCB" w:rsidRPr="0014127B">
        <w:rPr>
          <w:sz w:val="20"/>
          <w:szCs w:val="20"/>
        </w:rPr>
        <w:t>“</w:t>
      </w:r>
      <w:r w:rsidRPr="0014127B">
        <w:rPr>
          <w:sz w:val="20"/>
          <w:szCs w:val="20"/>
        </w:rPr>
        <w:t>free from any supervision by the probate or other courts.</w:t>
      </w:r>
      <w:r w:rsidR="001A6DCB" w:rsidRPr="0014127B">
        <w:rPr>
          <w:sz w:val="20"/>
          <w:szCs w:val="20"/>
        </w:rPr>
        <w:t>”</w:t>
      </w:r>
      <w:r w:rsidRPr="0014127B">
        <w:rPr>
          <w:sz w:val="20"/>
          <w:szCs w:val="20"/>
        </w:rPr>
        <w:t xml:space="preserve">  The court discounted any significance of the word </w:t>
      </w:r>
      <w:r w:rsidR="001A6DCB" w:rsidRPr="0014127B">
        <w:rPr>
          <w:sz w:val="20"/>
          <w:szCs w:val="20"/>
        </w:rPr>
        <w:t>“</w:t>
      </w:r>
      <w:r w:rsidRPr="0014127B">
        <w:rPr>
          <w:sz w:val="20"/>
          <w:szCs w:val="20"/>
        </w:rPr>
        <w:t>shall</w:t>
      </w:r>
      <w:r w:rsidR="001A6DCB" w:rsidRPr="0014127B">
        <w:rPr>
          <w:sz w:val="20"/>
          <w:szCs w:val="20"/>
        </w:rPr>
        <w:t>”</w:t>
      </w:r>
      <w:r w:rsidRPr="0014127B">
        <w:rPr>
          <w:sz w:val="20"/>
          <w:szCs w:val="20"/>
        </w:rPr>
        <w:t xml:space="preserve"> within the grant.</w:t>
      </w:r>
      <w:r w:rsidRPr="0014127B">
        <w:rPr>
          <w:rStyle w:val="FootnoteReference"/>
          <w:sz w:val="20"/>
          <w:szCs w:val="20"/>
        </w:rPr>
        <w:footnoteReference w:id="182"/>
      </w:r>
    </w:p>
    <w:p w14:paraId="4E10D9FB" w14:textId="5105A2CE" w:rsidR="003A0665" w:rsidRPr="0014127B" w:rsidRDefault="003A0665" w:rsidP="0014127B">
      <w:pPr>
        <w:pStyle w:val="b-bodytext"/>
        <w:tabs>
          <w:tab w:val="clear" w:pos="440"/>
        </w:tabs>
        <w:spacing w:line="480" w:lineRule="auto"/>
        <w:ind w:left="720" w:right="780" w:firstLine="450"/>
        <w:rPr>
          <w:sz w:val="20"/>
          <w:szCs w:val="20"/>
        </w:rPr>
      </w:pPr>
      <w:r w:rsidRPr="0014127B">
        <w:rPr>
          <w:sz w:val="20"/>
          <w:szCs w:val="20"/>
        </w:rPr>
        <w:lastRenderedPageBreak/>
        <w:t xml:space="preserve">While </w:t>
      </w:r>
      <w:proofErr w:type="spellStart"/>
      <w:r w:rsidRPr="0014127B">
        <w:rPr>
          <w:i/>
          <w:sz w:val="20"/>
          <w:szCs w:val="20"/>
        </w:rPr>
        <w:t>Penix</w:t>
      </w:r>
      <w:proofErr w:type="spellEnd"/>
      <w:r w:rsidRPr="0014127B">
        <w:rPr>
          <w:sz w:val="20"/>
          <w:szCs w:val="20"/>
        </w:rPr>
        <w:t xml:space="preserve"> and </w:t>
      </w:r>
      <w:proofErr w:type="spellStart"/>
      <w:r w:rsidRPr="0014127B">
        <w:rPr>
          <w:i/>
          <w:sz w:val="20"/>
          <w:szCs w:val="20"/>
        </w:rPr>
        <w:t>Rubion</w:t>
      </w:r>
      <w:proofErr w:type="spellEnd"/>
      <w:r w:rsidRPr="0014127B">
        <w:rPr>
          <w:sz w:val="20"/>
          <w:szCs w:val="20"/>
        </w:rPr>
        <w:t xml:space="preserve"> appear to conflict with each other, they consistently adhere to the same rule.</w:t>
      </w:r>
      <w:r w:rsidRPr="0014127B">
        <w:rPr>
          <w:rStyle w:val="FootnoteReference"/>
          <w:sz w:val="20"/>
          <w:szCs w:val="20"/>
        </w:rPr>
        <w:footnoteReference w:id="183"/>
      </w:r>
      <w:r w:rsidRPr="0014127B">
        <w:rPr>
          <w:sz w:val="20"/>
          <w:szCs w:val="20"/>
        </w:rPr>
        <w:t xml:space="preserve"> </w:t>
      </w:r>
      <w:r w:rsidR="00F0012A" w:rsidRPr="0014127B">
        <w:rPr>
          <w:sz w:val="20"/>
          <w:szCs w:val="20"/>
        </w:rPr>
        <w:t> </w:t>
      </w:r>
      <w:r w:rsidRPr="0014127B">
        <w:rPr>
          <w:sz w:val="20"/>
          <w:szCs w:val="20"/>
        </w:rPr>
        <w:t>When exercising discretion in a support trust, a trustee should consider both the present and future needs of the beneficiary.</w:t>
      </w:r>
      <w:r w:rsidRPr="0014127B">
        <w:rPr>
          <w:rStyle w:val="FootnoteReference"/>
          <w:sz w:val="20"/>
          <w:szCs w:val="20"/>
        </w:rPr>
        <w:footnoteReference w:id="184"/>
      </w:r>
    </w:p>
    <w:p w14:paraId="77873EC2" w14:textId="16DFFDF4" w:rsidR="003A0665" w:rsidRDefault="003A0665" w:rsidP="00561F7C">
      <w:pPr>
        <w:pStyle w:val="b-bodytext"/>
        <w:spacing w:line="480" w:lineRule="auto"/>
      </w:pPr>
      <w:r w:rsidRPr="0059378C">
        <w:t>Since such rule provides little help to trustees, this is an area where a statement of intent from the settlor may be particularly useful.</w:t>
      </w:r>
      <w:r w:rsidRPr="0059378C">
        <w:rPr>
          <w:rStyle w:val="FootnoteReference"/>
        </w:rPr>
        <w:footnoteReference w:id="185"/>
      </w:r>
      <w:r w:rsidR="003C2A77">
        <w:t xml:space="preserve"> For example:</w:t>
      </w:r>
    </w:p>
    <w:p w14:paraId="1A7F8ABF" w14:textId="77777777" w:rsidR="003A0665" w:rsidRPr="0059378C" w:rsidRDefault="003A0665" w:rsidP="00561F7C">
      <w:pPr>
        <w:spacing w:line="480" w:lineRule="auto"/>
      </w:pPr>
    </w:p>
    <w:tbl>
      <w:tblPr>
        <w:tblStyle w:val="TableGrid"/>
        <w:tblW w:w="0" w:type="auto"/>
        <w:jc w:val="center"/>
        <w:shd w:val="pct5" w:color="auto" w:fill="auto"/>
        <w:tblLook w:val="04A0" w:firstRow="1" w:lastRow="0" w:firstColumn="1" w:lastColumn="0" w:noHBand="0" w:noVBand="1"/>
      </w:tblPr>
      <w:tblGrid>
        <w:gridCol w:w="6710"/>
      </w:tblGrid>
      <w:tr w:rsidR="003A0665" w:rsidRPr="0059378C" w14:paraId="0867D3B4" w14:textId="77777777" w:rsidTr="00D3595A">
        <w:trPr>
          <w:jc w:val="center"/>
        </w:trPr>
        <w:tc>
          <w:tcPr>
            <w:tcW w:w="7686" w:type="dxa"/>
            <w:shd w:val="pct5" w:color="auto" w:fill="auto"/>
          </w:tcPr>
          <w:p w14:paraId="29FA7504" w14:textId="443303CD" w:rsidR="003A0665" w:rsidRPr="00376177" w:rsidRDefault="003A0665" w:rsidP="00561F7C">
            <w:pPr>
              <w:spacing w:line="480" w:lineRule="auto"/>
              <w:jc w:val="both"/>
              <w:rPr>
                <w:rFonts w:ascii="Times New Roman" w:hAnsi="Times New Roman" w:cs="Times New Roman"/>
                <w:sz w:val="22"/>
                <w:szCs w:val="22"/>
              </w:rPr>
            </w:pPr>
            <w:r w:rsidRPr="00376177">
              <w:rPr>
                <w:rFonts w:ascii="Times New Roman" w:hAnsi="Times New Roman" w:cs="Times New Roman"/>
                <w:b/>
                <w:i/>
                <w:sz w:val="22"/>
                <w:szCs w:val="22"/>
              </w:rPr>
              <w:t>Statement of Intent</w:t>
            </w:r>
            <w:r w:rsidRPr="00376177">
              <w:rPr>
                <w:rFonts w:ascii="Times New Roman" w:hAnsi="Times New Roman" w:cs="Times New Roman"/>
                <w:i/>
                <w:sz w:val="22"/>
                <w:szCs w:val="22"/>
              </w:rPr>
              <w:t>.</w:t>
            </w:r>
            <w:r w:rsidRPr="00376177">
              <w:rPr>
                <w:rFonts w:ascii="Times New Roman" w:hAnsi="Times New Roman" w:cs="Times New Roman"/>
                <w:sz w:val="22"/>
                <w:szCs w:val="22"/>
              </w:rPr>
              <w:t xml:space="preserve">  The Settlor intends the </w:t>
            </w:r>
            <w:r w:rsidR="0036267F">
              <w:rPr>
                <w:rFonts w:ascii="Times New Roman" w:hAnsi="Times New Roman" w:cs="Times New Roman"/>
                <w:sz w:val="22"/>
                <w:szCs w:val="22"/>
              </w:rPr>
              <w:t xml:space="preserve">separate </w:t>
            </w:r>
            <w:r w:rsidRPr="00376177">
              <w:rPr>
                <w:rFonts w:ascii="Times New Roman" w:hAnsi="Times New Roman" w:cs="Times New Roman"/>
                <w:sz w:val="22"/>
                <w:szCs w:val="22"/>
              </w:rPr>
              <w:t xml:space="preserve">trusts for </w:t>
            </w:r>
            <w:r w:rsidR="0036267F">
              <w:rPr>
                <w:rFonts w:ascii="Times New Roman" w:hAnsi="Times New Roman" w:cs="Times New Roman"/>
                <w:sz w:val="22"/>
                <w:szCs w:val="22"/>
              </w:rPr>
              <w:t xml:space="preserve">each of </w:t>
            </w:r>
            <w:r w:rsidRPr="00376177">
              <w:rPr>
                <w:rFonts w:ascii="Times New Roman" w:hAnsi="Times New Roman" w:cs="Times New Roman"/>
                <w:sz w:val="22"/>
                <w:szCs w:val="22"/>
              </w:rPr>
              <w:t xml:space="preserve">his grandchildren primarily provide </w:t>
            </w:r>
            <w:r w:rsidR="0036267F">
              <w:rPr>
                <w:rFonts w:ascii="Times New Roman" w:hAnsi="Times New Roman" w:cs="Times New Roman"/>
                <w:sz w:val="22"/>
                <w:szCs w:val="22"/>
              </w:rPr>
              <w:t>the</w:t>
            </w:r>
            <w:r w:rsidRPr="00376177">
              <w:rPr>
                <w:rFonts w:ascii="Times New Roman" w:hAnsi="Times New Roman" w:cs="Times New Roman"/>
                <w:sz w:val="22"/>
                <w:szCs w:val="22"/>
              </w:rPr>
              <w:t xml:space="preserve"> grandchild</w:t>
            </w:r>
            <w:r w:rsidR="0036267F">
              <w:rPr>
                <w:rFonts w:ascii="Times New Roman" w:hAnsi="Times New Roman" w:cs="Times New Roman"/>
                <w:sz w:val="22"/>
                <w:szCs w:val="22"/>
              </w:rPr>
              <w:t>-beneficiary of such trust</w:t>
            </w:r>
            <w:r w:rsidRPr="00376177">
              <w:rPr>
                <w:rFonts w:ascii="Times New Roman" w:hAnsi="Times New Roman" w:cs="Times New Roman"/>
                <w:sz w:val="22"/>
                <w:szCs w:val="22"/>
              </w:rPr>
              <w:t xml:space="preserve"> with the opportunity to attend any institute of higher education that </w:t>
            </w:r>
            <w:r w:rsidR="0036267F">
              <w:rPr>
                <w:rFonts w:ascii="Times New Roman" w:hAnsi="Times New Roman" w:cs="Times New Roman"/>
                <w:sz w:val="22"/>
                <w:szCs w:val="22"/>
              </w:rPr>
              <w:t>the</w:t>
            </w:r>
            <w:r w:rsidRPr="00376177">
              <w:rPr>
                <w:rFonts w:ascii="Times New Roman" w:hAnsi="Times New Roman" w:cs="Times New Roman"/>
                <w:sz w:val="22"/>
                <w:szCs w:val="22"/>
              </w:rPr>
              <w:t xml:space="preserve"> grandchild</w:t>
            </w:r>
            <w:r w:rsidR="0036267F">
              <w:rPr>
                <w:rFonts w:ascii="Times New Roman" w:hAnsi="Times New Roman" w:cs="Times New Roman"/>
                <w:sz w:val="22"/>
                <w:szCs w:val="22"/>
              </w:rPr>
              <w:t>-beneficiary</w:t>
            </w:r>
            <w:r w:rsidRPr="00376177">
              <w:rPr>
                <w:rFonts w:ascii="Times New Roman" w:hAnsi="Times New Roman" w:cs="Times New Roman"/>
                <w:sz w:val="22"/>
                <w:szCs w:val="22"/>
              </w:rPr>
              <w:t xml:space="preserve"> is qualified and able to attend.  The Settlor recognizes that the educational expenses of certain grandchildren may exhaust their trusts at an earlier point than others.  For those grandchildren who do not fully exhaust their trusts, distributions from such trusts shall be made in accordance with the ascertainable standards set forth in Section __, and the Settlor encourages the trustee of each such trust to generously construe such standards in a manner to support the trust beneficiary i</w:t>
            </w:r>
            <w:r w:rsidR="003C2A77">
              <w:rPr>
                <w:rFonts w:ascii="Times New Roman" w:hAnsi="Times New Roman" w:cs="Times New Roman"/>
                <w:sz w:val="22"/>
                <w:szCs w:val="22"/>
              </w:rPr>
              <w:t>n</w:t>
            </w:r>
            <w:r w:rsidRPr="00376177">
              <w:rPr>
                <w:rFonts w:ascii="Times New Roman" w:hAnsi="Times New Roman" w:cs="Times New Roman"/>
                <w:sz w:val="22"/>
                <w:szCs w:val="22"/>
              </w:rPr>
              <w:t xml:space="preserve"> starting his or her own business o</w:t>
            </w:r>
            <w:r w:rsidR="00376177">
              <w:rPr>
                <w:rFonts w:ascii="Times New Roman" w:hAnsi="Times New Roman" w:cs="Times New Roman"/>
                <w:sz w:val="22"/>
                <w:szCs w:val="22"/>
              </w:rPr>
              <w:t>r furthering his or her career.</w:t>
            </w:r>
          </w:p>
        </w:tc>
      </w:tr>
    </w:tbl>
    <w:p w14:paraId="081DCC53" w14:textId="77777777" w:rsidR="003A0665" w:rsidRDefault="003A0665" w:rsidP="00561F7C">
      <w:pPr>
        <w:pStyle w:val="a-4thSubHead"/>
        <w:spacing w:line="480" w:lineRule="auto"/>
      </w:pPr>
      <w:bookmarkStart w:id="70" w:name="_Toc31203610"/>
      <w:r w:rsidRPr="00FC6A36">
        <w:lastRenderedPageBreak/>
        <w:t>c.  Tax Planning</w:t>
      </w:r>
      <w:bookmarkEnd w:id="70"/>
    </w:p>
    <w:p w14:paraId="440EF76A" w14:textId="57C04E00" w:rsidR="003A0665" w:rsidRPr="0059378C" w:rsidRDefault="003A0665" w:rsidP="00561F7C">
      <w:pPr>
        <w:pStyle w:val="b-bodytext"/>
        <w:spacing w:line="480" w:lineRule="auto"/>
      </w:pPr>
      <w:r w:rsidRPr="0059378C">
        <w:t>If a trust is established, all or in part to achieve tax savings, then some degree of discretion is generally desirable for distribution standards.</w:t>
      </w:r>
      <w:bookmarkStart w:id="71" w:name="_Ref33696011"/>
      <w:r w:rsidRPr="0059378C">
        <w:rPr>
          <w:rStyle w:val="FootnoteReference"/>
        </w:rPr>
        <w:footnoteReference w:id="186"/>
      </w:r>
      <w:bookmarkEnd w:id="71"/>
      <w:r w:rsidRPr="0059378C">
        <w:t xml:space="preserve">  Unless an independent trustee will always serve, such discretion should be limited to an ascertainable standard so as to allow the opportunity for the beneficiary of the trust (or a related family member) to serve as trustee without causing estate tax inclusion.</w:t>
      </w:r>
      <w:r w:rsidRPr="0059378C">
        <w:rPr>
          <w:rStyle w:val="FootnoteReference"/>
        </w:rPr>
        <w:footnoteReference w:id="187"/>
      </w:r>
      <w:r w:rsidRPr="0059378C">
        <w:t xml:space="preserve"> </w:t>
      </w:r>
      <w:r w:rsidR="00376177">
        <w:t> </w:t>
      </w:r>
      <w:r w:rsidRPr="0059378C">
        <w:t>Even documents that name an independent trustee frequently use an ascertainable standard to allow the possible future appointment of the settlor, settlor</w:t>
      </w:r>
      <w:r w:rsidR="001A6DCB">
        <w:t>’</w:t>
      </w:r>
      <w:r w:rsidRPr="0059378C">
        <w:t>s spouse, beneficiary or other sensitive person as trustee without undesirable tax consequences.</w:t>
      </w:r>
      <w:r w:rsidRPr="0059378C">
        <w:rPr>
          <w:rStyle w:val="FootnoteReference"/>
        </w:rPr>
        <w:footnoteReference w:id="188"/>
      </w:r>
    </w:p>
    <w:p w14:paraId="0D368224" w14:textId="1F2AB911" w:rsidR="003A0665" w:rsidRPr="0059378C" w:rsidRDefault="003A0665" w:rsidP="00561F7C">
      <w:pPr>
        <w:pStyle w:val="b-bodytext"/>
        <w:spacing w:line="480" w:lineRule="auto"/>
      </w:pPr>
      <w:r w:rsidRPr="0059378C">
        <w:t>While a complete discussion of the tax consequences related to ascertainable and non-ascertainable standards is beyond the scope of this article, it is important to recognize the implications of using such language in a trust instrument and what it conveys to the trustee and beneficiary.</w:t>
      </w:r>
      <w:r w:rsidRPr="0059378C">
        <w:rPr>
          <w:rStyle w:val="FootnoteReference"/>
        </w:rPr>
        <w:footnoteReference w:id="189"/>
      </w:r>
      <w:r w:rsidRPr="0059378C">
        <w:t xml:space="preserve">  A trustee may administer distributions from a trust created primarily for tax</w:t>
      </w:r>
      <w:r w:rsidR="001D54E1">
        <w:noBreakHyphen/>
      </w:r>
      <w:r w:rsidRPr="0059378C">
        <w:t xml:space="preserve">planning reasons differently from a trust created primarily for asset </w:t>
      </w:r>
      <w:r w:rsidRPr="0059378C">
        <w:lastRenderedPageBreak/>
        <w:t>protection reasons, especially in light of the fluctuating federal estate and gift tax exemption in the past twenty years.</w:t>
      </w:r>
      <w:r w:rsidRPr="0059378C">
        <w:rPr>
          <w:rStyle w:val="FootnoteReference"/>
        </w:rPr>
        <w:footnoteReference w:id="190"/>
      </w:r>
    </w:p>
    <w:p w14:paraId="3BB78702" w14:textId="576F8307" w:rsidR="003A0665" w:rsidRPr="0059378C" w:rsidRDefault="003A0665" w:rsidP="00561F7C">
      <w:pPr>
        <w:pStyle w:val="b-bodytext"/>
        <w:spacing w:line="480" w:lineRule="auto"/>
      </w:pPr>
      <w:r w:rsidRPr="0059378C">
        <w:t>Therefore, the author has included a few examples of gift tax, estate tax, and income tax consequences resulting from distribution standards.</w:t>
      </w:r>
      <w:r w:rsidRPr="0059378C">
        <w:rPr>
          <w:rStyle w:val="FootnoteReference"/>
        </w:rPr>
        <w:footnoteReference w:id="191"/>
      </w:r>
    </w:p>
    <w:p w14:paraId="0AC3359E" w14:textId="77777777" w:rsidR="003A0665" w:rsidRDefault="003A0665" w:rsidP="00561F7C">
      <w:pPr>
        <w:pStyle w:val="a-5thSubHead"/>
        <w:spacing w:line="480" w:lineRule="auto"/>
        <w:rPr>
          <w:iCs/>
        </w:rPr>
      </w:pPr>
      <w:bookmarkStart w:id="72" w:name="_Toc31203611"/>
      <w:proofErr w:type="spellStart"/>
      <w:r w:rsidRPr="007E12F8">
        <w:t>i</w:t>
      </w:r>
      <w:proofErr w:type="spellEnd"/>
      <w:r w:rsidRPr="007E12F8">
        <w:t>.  Avoidance of Gift Tax Consequences to Beneficiary/Trustee</w:t>
      </w:r>
      <w:bookmarkEnd w:id="72"/>
    </w:p>
    <w:p w14:paraId="77B7DAD0" w14:textId="3D37F147" w:rsidR="003A0665" w:rsidRPr="0059378C" w:rsidRDefault="003A0665" w:rsidP="00561F7C">
      <w:pPr>
        <w:pStyle w:val="b-bodytext"/>
        <w:spacing w:line="480" w:lineRule="auto"/>
        <w:rPr>
          <w:iCs/>
        </w:rPr>
      </w:pPr>
      <w:r w:rsidRPr="0059378C">
        <w:t xml:space="preserve">An individual who is both trustee </w:t>
      </w:r>
      <w:r w:rsidRPr="00CC72ED">
        <w:t>and</w:t>
      </w:r>
      <w:r w:rsidRPr="0059378C">
        <w:t xml:space="preserve"> beneficiary of a pot trust (a bad idea regardless of tax consequences) must be careful that distributions made to other trust beneficiaries are not considered gifts from </w:t>
      </w:r>
      <w:r w:rsidR="0036267F">
        <w:t>the</w:t>
      </w:r>
      <w:r w:rsidRPr="0059378C">
        <w:t xml:space="preserve"> trustee</w:t>
      </w:r>
      <w:r w:rsidR="00376177">
        <w:noBreakHyphen/>
      </w:r>
      <w:r w:rsidRPr="0059378C">
        <w:t>beneficiary.</w:t>
      </w:r>
      <w:r w:rsidRPr="0059378C">
        <w:rPr>
          <w:rStyle w:val="FootnoteReference"/>
        </w:rPr>
        <w:footnoteReference w:id="192"/>
      </w:r>
      <w:r w:rsidRPr="0059378C">
        <w:t xml:space="preserve">  If the trustee</w:t>
      </w:r>
      <w:r w:rsidR="001A6DCB">
        <w:t>’</w:t>
      </w:r>
      <w:r w:rsidRPr="0059378C">
        <w:t>s distribution power is not limited by an ascertainable standard, then distributions to or for the benefit of another beneficiary of the same trust could be considered as taxable gifts for federal gift tax purposes.</w:t>
      </w:r>
      <w:r w:rsidRPr="0059378C">
        <w:rPr>
          <w:rStyle w:val="FootnoteReference"/>
        </w:rPr>
        <w:footnoteReference w:id="193"/>
      </w:r>
      <w:r w:rsidRPr="0059378C">
        <w:t xml:space="preserve">  Although HEMS is a known safe harbor, whether any other standard is definite enough is determined based on the </w:t>
      </w:r>
      <w:r w:rsidR="001A6DCB">
        <w:t>“</w:t>
      </w:r>
      <w:r w:rsidRPr="0059378C">
        <w:t>entire context</w:t>
      </w:r>
      <w:r w:rsidR="001A6DCB">
        <w:t>”</w:t>
      </w:r>
      <w:r w:rsidRPr="0059378C">
        <w:t xml:space="preserve"> of the trust instrument.</w:t>
      </w:r>
      <w:r w:rsidRPr="0059378C">
        <w:rPr>
          <w:rStyle w:val="FootnoteReference"/>
        </w:rPr>
        <w:footnoteReference w:id="194"/>
      </w:r>
      <w:r w:rsidRPr="0059378C">
        <w:t xml:space="preserve"> </w:t>
      </w:r>
      <w:r w:rsidR="00376177">
        <w:t> </w:t>
      </w:r>
      <w:r w:rsidRPr="0059378C">
        <w:t xml:space="preserve">Thus, if the trust states that the </w:t>
      </w:r>
      <w:r w:rsidRPr="00CC72ED">
        <w:rPr>
          <w:bCs/>
          <w:i/>
          <w:iCs/>
        </w:rPr>
        <w:t>trustee</w:t>
      </w:r>
      <w:r w:rsidR="001A6DCB" w:rsidRPr="00CC72ED">
        <w:rPr>
          <w:bCs/>
          <w:i/>
          <w:iCs/>
        </w:rPr>
        <w:t>’</w:t>
      </w:r>
      <w:r w:rsidRPr="00CC72ED">
        <w:rPr>
          <w:bCs/>
          <w:i/>
          <w:iCs/>
        </w:rPr>
        <w:t>s</w:t>
      </w:r>
      <w:r w:rsidRPr="0059378C">
        <w:t xml:space="preserve"> determination is conclusive with respect to the exercise or non-exercise of </w:t>
      </w:r>
      <w:r w:rsidRPr="0059378C">
        <w:lastRenderedPageBreak/>
        <w:t xml:space="preserve">the power, </w:t>
      </w:r>
      <w:r w:rsidR="001A6DCB">
        <w:t>“</w:t>
      </w:r>
      <w:r w:rsidRPr="0059378C">
        <w:t>then the power is not considered to be limited by the requisite standard.</w:t>
      </w:r>
      <w:r w:rsidR="001A6DCB">
        <w:t>”</w:t>
      </w:r>
      <w:r w:rsidRPr="0059378C">
        <w:rPr>
          <w:rStyle w:val="FootnoteReference"/>
        </w:rPr>
        <w:footnoteReference w:id="195"/>
      </w:r>
      <w:r w:rsidRPr="0059378C">
        <w:t xml:space="preserve">  </w:t>
      </w:r>
    </w:p>
    <w:p w14:paraId="6B316AF2" w14:textId="4858B036" w:rsidR="003A0665" w:rsidRDefault="003A0665" w:rsidP="00AA0793">
      <w:pPr>
        <w:pStyle w:val="b-bodytext"/>
        <w:spacing w:line="480" w:lineRule="auto"/>
      </w:pPr>
      <w:r w:rsidRPr="0059378C">
        <w:t xml:space="preserve">Therefore, if a settlor envisions </w:t>
      </w:r>
      <w:proofErr w:type="spellStart"/>
      <w:r w:rsidRPr="0059378C">
        <w:t>a</w:t>
      </w:r>
      <w:r w:rsidR="0036267F">
        <w:t>trust</w:t>
      </w:r>
      <w:proofErr w:type="spellEnd"/>
      <w:r w:rsidR="0036267F">
        <w:t xml:space="preserve"> </w:t>
      </w:r>
      <w:r w:rsidRPr="0059378C">
        <w:t>beneficiary</w:t>
      </w:r>
      <w:r w:rsidR="0036267F">
        <w:t xml:space="preserve"> also</w:t>
      </w:r>
      <w:r w:rsidRPr="0059378C">
        <w:t xml:space="preserve"> serving as trustee of a pot trust, inclusion of a </w:t>
      </w:r>
      <w:r w:rsidR="001A6DCB">
        <w:t>“</w:t>
      </w:r>
      <w:r w:rsidRPr="0059378C">
        <w:t>reasonably fixed or ascertainable standard</w:t>
      </w:r>
      <w:r w:rsidR="001A6DCB">
        <w:t>”</w:t>
      </w:r>
      <w:r w:rsidRPr="0059378C">
        <w:t xml:space="preserve"> is necessary to avoid gift tax consequences to the beneficiary</w:t>
      </w:r>
      <w:r w:rsidR="00376177">
        <w:noBreakHyphen/>
      </w:r>
      <w:r w:rsidRPr="0059378C">
        <w:t>trustee.</w:t>
      </w:r>
      <w:r w:rsidRPr="0059378C">
        <w:rPr>
          <w:rStyle w:val="FootnoteReference"/>
        </w:rPr>
        <w:footnoteReference w:id="196"/>
      </w:r>
      <w:r w:rsidRPr="0059378C">
        <w:t xml:space="preserve"> </w:t>
      </w:r>
      <w:r w:rsidR="00376177">
        <w:t> </w:t>
      </w:r>
      <w:r w:rsidRPr="0059378C">
        <w:t>And although there are no tax ramifications of including prioritization language, this is a perfect example of where such language could provide guidance and protection to both the trustee and beneficiaries.</w:t>
      </w:r>
      <w:r w:rsidRPr="0059378C">
        <w:rPr>
          <w:rStyle w:val="FootnoteReference"/>
        </w:rPr>
        <w:footnoteReference w:id="197"/>
      </w:r>
      <w:r w:rsidR="00AA0793">
        <w:t xml:space="preserve"> </w:t>
      </w:r>
      <w:r w:rsidR="0036267F">
        <w:t>”</w:t>
      </w:r>
      <w:proofErr w:type="spellStart"/>
      <w:r w:rsidR="00AA0793">
        <w:t>Futhermore</w:t>
      </w:r>
      <w:proofErr w:type="spellEnd"/>
      <w:r w:rsidRPr="0059378C">
        <w:t>, even if such a power is subject to an ascertainable standard and there are no gift tax consequences, property distributable to a person for whom the beneficiary</w:t>
      </w:r>
      <w:r w:rsidR="00AA0793">
        <w:t>/</w:t>
      </w:r>
      <w:r w:rsidRPr="0059378C">
        <w:t>trustee has a legal obligation to support could be included in beneficiary</w:t>
      </w:r>
      <w:r w:rsidR="00AA0793">
        <w:t>/</w:t>
      </w:r>
      <w:r w:rsidRPr="0059378C">
        <w:t>trustee</w:t>
      </w:r>
      <w:r w:rsidR="001A6DCB">
        <w:t>’</w:t>
      </w:r>
      <w:r w:rsidRPr="0059378C">
        <w:t>s gross estate for federal estate tax purposes, unless the trustee is prohibited from making any distributions to a beneficiary that would satisfy the trustee</w:t>
      </w:r>
      <w:r w:rsidR="001A6DCB">
        <w:t>’</w:t>
      </w:r>
      <w:r w:rsidRPr="0059378C">
        <w:t>s individual legal obligation to support such beneficiary.</w:t>
      </w:r>
      <w:r w:rsidR="00AA0793">
        <w:t>”</w:t>
      </w:r>
      <w:r w:rsidRPr="0059378C">
        <w:rPr>
          <w:rStyle w:val="FootnoteReference"/>
        </w:rPr>
        <w:footnoteReference w:id="198"/>
      </w:r>
    </w:p>
    <w:p w14:paraId="61E0BAF3" w14:textId="77777777" w:rsidR="003A0665" w:rsidRPr="0059378C" w:rsidRDefault="003A0665" w:rsidP="00561F7C">
      <w:pPr>
        <w:spacing w:line="480" w:lineRule="auto"/>
      </w:pPr>
    </w:p>
    <w:p w14:paraId="0570F1FE" w14:textId="77777777" w:rsidR="003A0665" w:rsidRDefault="003A0665" w:rsidP="00561F7C">
      <w:pPr>
        <w:pStyle w:val="a-5thSubHead"/>
        <w:spacing w:line="480" w:lineRule="auto"/>
        <w:rPr>
          <w:iCs/>
        </w:rPr>
      </w:pPr>
      <w:bookmarkStart w:id="73" w:name="_Toc31203612"/>
      <w:r w:rsidRPr="007E12F8">
        <w:lastRenderedPageBreak/>
        <w:t>ii.  Avoidance of Estate Tax Inclusion If Settlor Is Trustee</w:t>
      </w:r>
      <w:bookmarkEnd w:id="73"/>
    </w:p>
    <w:p w14:paraId="7E34AFC0" w14:textId="29D699E4" w:rsidR="003A0665" w:rsidRDefault="00AA0793" w:rsidP="00561F7C">
      <w:pPr>
        <w:pStyle w:val="b-bodytext"/>
        <w:spacing w:line="480" w:lineRule="auto"/>
      </w:pPr>
      <w:r>
        <w:t>Under IRC sections 2036 and 2038,  when</w:t>
      </w:r>
      <w:r w:rsidRPr="0059378C">
        <w:t xml:space="preserve"> </w:t>
      </w:r>
      <w:r w:rsidR="003A0665" w:rsidRPr="0059378C">
        <w:t xml:space="preserve">a settlor is the trustee or controls the trustee, then the </w:t>
      </w:r>
      <w:r>
        <w:t>“</w:t>
      </w:r>
      <w:r w:rsidR="003A0665" w:rsidRPr="0059378C">
        <w:t>trustee</w:t>
      </w:r>
      <w:r w:rsidR="001A6DCB">
        <w:t>’</w:t>
      </w:r>
      <w:r w:rsidR="003A0665" w:rsidRPr="0059378C">
        <w:t xml:space="preserve">s possession of a power to make distributions to or for the benefit of a beneficiary of the trust, </w:t>
      </w:r>
      <w:r w:rsidR="003A0665" w:rsidRPr="00CC72ED">
        <w:t>if</w:t>
      </w:r>
      <w:r w:rsidR="003A0665" w:rsidRPr="0059378C">
        <w:t xml:space="preserve"> limited by an ascertainable standard relating to the beneficiary</w:t>
      </w:r>
      <w:r w:rsidR="001A6DCB">
        <w:t>’</w:t>
      </w:r>
      <w:r w:rsidR="003A0665" w:rsidRPr="0059378C">
        <w:t>s health, education, support, or maintenance, will not cause the trust property to be included in the gross estate of the settlor</w:t>
      </w:r>
      <w:r w:rsidR="003C2A77">
        <w:t>-</w:t>
      </w:r>
      <w:r w:rsidR="003A0665" w:rsidRPr="0059378C">
        <w:t>trustee for federal estate tax</w:t>
      </w:r>
      <w:r>
        <w:t xml:space="preserve"> . . . </w:t>
      </w:r>
      <w:r w:rsidR="003A0665" w:rsidRPr="0059378C">
        <w:t>.</w:t>
      </w:r>
      <w:r>
        <w:t>”</w:t>
      </w:r>
      <w:r w:rsidR="003A0665" w:rsidRPr="0059378C">
        <w:rPr>
          <w:rStyle w:val="FootnoteReference"/>
        </w:rPr>
        <w:footnoteReference w:id="199"/>
      </w:r>
    </w:p>
    <w:p w14:paraId="4647659D" w14:textId="77777777" w:rsidR="003A0665" w:rsidRPr="0059378C" w:rsidRDefault="003A0665" w:rsidP="00561F7C">
      <w:pPr>
        <w:spacing w:line="480" w:lineRule="auto"/>
      </w:pPr>
    </w:p>
    <w:p w14:paraId="3C122475" w14:textId="7D83D97C" w:rsidR="003A0665" w:rsidRDefault="003A0665" w:rsidP="00561F7C">
      <w:pPr>
        <w:pStyle w:val="a-5thSubHead"/>
        <w:spacing w:before="0" w:after="0" w:line="480" w:lineRule="auto"/>
        <w:rPr>
          <w:iCs/>
        </w:rPr>
      </w:pPr>
      <w:bookmarkStart w:id="74" w:name="_Toc31203613"/>
      <w:r w:rsidRPr="007E12F8">
        <w:t>iii.  Settlor or Settlor</w:t>
      </w:r>
      <w:r w:rsidR="001A6DCB">
        <w:t>’</w:t>
      </w:r>
      <w:r w:rsidRPr="007E12F8">
        <w:t xml:space="preserve">s Spouse as Trustee — Income </w:t>
      </w:r>
      <w:r>
        <w:t>T</w:t>
      </w:r>
      <w:r w:rsidRPr="007E12F8">
        <w:t xml:space="preserve">ax </w:t>
      </w:r>
      <w:r>
        <w:t>R</w:t>
      </w:r>
      <w:r w:rsidRPr="007E12F8">
        <w:t>elevance</w:t>
      </w:r>
      <w:bookmarkEnd w:id="74"/>
    </w:p>
    <w:p w14:paraId="1F0D6FFA" w14:textId="77777777" w:rsidR="003A0665" w:rsidRPr="007E12F8" w:rsidRDefault="003A0665" w:rsidP="00561F7C">
      <w:pPr>
        <w:spacing w:line="480" w:lineRule="auto"/>
      </w:pPr>
    </w:p>
    <w:p w14:paraId="618D8AA2" w14:textId="62AB24CB" w:rsidR="003A0665" w:rsidRDefault="00AA0793" w:rsidP="00561F7C">
      <w:pPr>
        <w:pStyle w:val="b-bodytext"/>
        <w:spacing w:line="480" w:lineRule="auto"/>
      </w:pPr>
      <w:r>
        <w:t xml:space="preserve">A trustee’s power </w:t>
      </w:r>
      <w:r w:rsidR="003A0665" w:rsidRPr="0059378C">
        <w:t xml:space="preserve">to distribute </w:t>
      </w:r>
      <w:r w:rsidR="00210F60">
        <w:t>“</w:t>
      </w:r>
      <w:r w:rsidR="003A0665" w:rsidRPr="0059378C">
        <w:rPr>
          <w:i/>
        </w:rPr>
        <w:t>corpus</w:t>
      </w:r>
      <w:r w:rsidR="003A0665" w:rsidRPr="0059378C">
        <w:t xml:space="preserve"> to or for a beneficiary or beneficiaries, limited by a </w:t>
      </w:r>
      <w:r w:rsidR="001A6DCB">
        <w:t>“</w:t>
      </w:r>
      <w:r w:rsidR="003A0665" w:rsidRPr="0059378C">
        <w:t>reasonably definite standard</w:t>
      </w:r>
      <w:r w:rsidR="001A6DCB">
        <w:t>”</w:t>
      </w:r>
      <w:r w:rsidR="003A0665" w:rsidRPr="0059378C">
        <w:t xml:space="preserve"> set forth in the trust instrument, will not cause the trust income to be taxed to the settlor for federal income tax purposes.</w:t>
      </w:r>
      <w:r w:rsidR="008A1CD0">
        <w:t>”</w:t>
      </w:r>
      <w:r w:rsidR="003A0665" w:rsidRPr="0059378C">
        <w:rPr>
          <w:rStyle w:val="FootnoteReference"/>
        </w:rPr>
        <w:footnoteReference w:id="200"/>
      </w:r>
      <w:r w:rsidR="003A0665" w:rsidRPr="0059378C">
        <w:t xml:space="preserve"> </w:t>
      </w:r>
      <w:r w:rsidR="00CF35D9">
        <w:t> </w:t>
      </w:r>
      <w:r w:rsidR="003A0665" w:rsidRPr="0059378C">
        <w:t xml:space="preserve">A reasonably definite standard includes </w:t>
      </w:r>
      <w:r w:rsidR="001A6DCB">
        <w:t>“</w:t>
      </w:r>
      <w:r w:rsidR="003A0665" w:rsidRPr="0059378C">
        <w:t xml:space="preserve">a power to distribute </w:t>
      </w:r>
      <w:r w:rsidR="003A0665" w:rsidRPr="00CC72ED">
        <w:rPr>
          <w:i/>
          <w:iCs/>
        </w:rPr>
        <w:t>corpus</w:t>
      </w:r>
      <w:r w:rsidR="003A0665" w:rsidRPr="0059378C">
        <w:t xml:space="preserve"> for the education, support, maintenance, or health of the beneficiary.</w:t>
      </w:r>
      <w:r w:rsidR="001A6DCB">
        <w:t>”</w:t>
      </w:r>
      <w:r w:rsidR="003A0665" w:rsidRPr="0059378C">
        <w:rPr>
          <w:rStyle w:val="FootnoteReference"/>
        </w:rPr>
        <w:footnoteReference w:id="201"/>
      </w:r>
    </w:p>
    <w:p w14:paraId="0816AA16" w14:textId="77777777" w:rsidR="003A0665" w:rsidRDefault="003A0665" w:rsidP="00561F7C">
      <w:pPr>
        <w:pStyle w:val="a-4thSubHead"/>
        <w:spacing w:line="480" w:lineRule="auto"/>
      </w:pPr>
      <w:bookmarkStart w:id="75" w:name="_Toc31203614"/>
      <w:r w:rsidRPr="00713E7A">
        <w:lastRenderedPageBreak/>
        <w:t>d.  Asset Protection Planning</w:t>
      </w:r>
      <w:bookmarkEnd w:id="75"/>
    </w:p>
    <w:p w14:paraId="3D96ED6D" w14:textId="59FCE7FB" w:rsidR="003A0665" w:rsidRPr="0059378C" w:rsidRDefault="003A0665" w:rsidP="00561F7C">
      <w:pPr>
        <w:pStyle w:val="b-bodytext"/>
        <w:spacing w:line="480" w:lineRule="auto"/>
        <w:rPr>
          <w:i/>
        </w:rPr>
      </w:pPr>
      <w:r w:rsidRPr="0059378C">
        <w:t>If asset protection planning was a significant impetus for the creation of a trust, this should be conveyed to the trustee to consider when administering the trust, particularly when making trust distributions.</w:t>
      </w:r>
      <w:r w:rsidRPr="0059378C">
        <w:rPr>
          <w:rStyle w:val="FootnoteReference"/>
        </w:rPr>
        <w:footnoteReference w:id="202"/>
      </w:r>
    </w:p>
    <w:p w14:paraId="655BA029" w14:textId="643C7ACC" w:rsidR="003A0665" w:rsidRPr="0059378C" w:rsidRDefault="003A0665" w:rsidP="00561F7C">
      <w:pPr>
        <w:pStyle w:val="b-bodytext"/>
        <w:spacing w:line="480" w:lineRule="auto"/>
      </w:pPr>
      <w:r w:rsidRPr="0059378C">
        <w:t>If a beneficiary of a trust, as trustee or otherwise, holds a power to make distributions to himself or for his benefit, an issue can arise regarding the ability of the beneficiary</w:t>
      </w:r>
      <w:r w:rsidR="001A6DCB">
        <w:t>’</w:t>
      </w:r>
      <w:r w:rsidRPr="0059378C">
        <w:t>s creditors to satisfy claims against the beneficiary from the beneficiary</w:t>
      </w:r>
      <w:r w:rsidR="001A6DCB">
        <w:t>’</w:t>
      </w:r>
      <w:r w:rsidRPr="0059378C">
        <w:t>s interest in the trust.</w:t>
      </w:r>
      <w:r w:rsidRPr="0059378C">
        <w:rPr>
          <w:rStyle w:val="FootnoteReference"/>
        </w:rPr>
        <w:footnoteReference w:id="203"/>
      </w:r>
      <w:r w:rsidRPr="0059378C">
        <w:t xml:space="preserve">  When, however, the trust has a spendthrift provision and the beneficiary</w:t>
      </w:r>
      <w:r w:rsidR="001A6DCB">
        <w:t>’</w:t>
      </w:r>
      <w:r w:rsidRPr="0059378C">
        <w:t>s power is limited by an ascertainable standard relating to the beneficiary</w:t>
      </w:r>
      <w:r w:rsidR="001A6DCB">
        <w:t>’</w:t>
      </w:r>
      <w:r w:rsidRPr="0059378C">
        <w:t>s health, education, support, or maintenance, a creditor generally cannot attach the beneficiary</w:t>
      </w:r>
      <w:r w:rsidR="001A6DCB">
        <w:t>’</w:t>
      </w:r>
      <w:r w:rsidRPr="0059378C">
        <w:t>s interest on the basis that the beneficiary holds a distribution right or power.</w:t>
      </w:r>
      <w:r w:rsidRPr="0059378C">
        <w:rPr>
          <w:rStyle w:val="FootnoteReference"/>
        </w:rPr>
        <w:footnoteReference w:id="204"/>
      </w:r>
    </w:p>
    <w:p w14:paraId="071C24F5" w14:textId="77777777" w:rsidR="003A0665" w:rsidRDefault="003A0665" w:rsidP="00561F7C">
      <w:pPr>
        <w:pStyle w:val="a-5thSubHead"/>
        <w:spacing w:line="480" w:lineRule="auto"/>
        <w:rPr>
          <w:iCs/>
        </w:rPr>
      </w:pPr>
      <w:bookmarkStart w:id="76" w:name="_Toc31203615"/>
      <w:proofErr w:type="spellStart"/>
      <w:r w:rsidRPr="007E12F8">
        <w:t>i</w:t>
      </w:r>
      <w:proofErr w:type="spellEnd"/>
      <w:r w:rsidRPr="007E12F8">
        <w:t>.  Texas</w:t>
      </w:r>
      <w:bookmarkEnd w:id="76"/>
    </w:p>
    <w:p w14:paraId="08B1CF69" w14:textId="730EAA10" w:rsidR="003A0665" w:rsidRPr="0059378C" w:rsidRDefault="003A0665" w:rsidP="00561F7C">
      <w:pPr>
        <w:pStyle w:val="b-bodytext"/>
        <w:spacing w:line="480" w:lineRule="auto"/>
        <w:rPr>
          <w:i/>
        </w:rPr>
      </w:pPr>
      <w:r w:rsidRPr="0059378C">
        <w:t xml:space="preserve">Specifically, Texas law </w:t>
      </w:r>
      <w:r w:rsidR="003C2A77">
        <w:t>mandates</w:t>
      </w:r>
      <w:r w:rsidR="003C2A77" w:rsidRPr="0059378C">
        <w:t xml:space="preserve"> </w:t>
      </w:r>
      <w:r w:rsidRPr="0059378C">
        <w:t xml:space="preserve">that so long as the trust instrument provides that </w:t>
      </w:r>
      <w:r w:rsidR="001A6DCB">
        <w:t>“</w:t>
      </w:r>
      <w:r w:rsidRPr="0059378C">
        <w:t xml:space="preserve">the interest of a beneficiary shall be held subject to a </w:t>
      </w:r>
      <w:r w:rsidR="001A6DCB">
        <w:t>‘</w:t>
      </w:r>
      <w:r w:rsidRPr="0059378C">
        <w:t>spendthrift trust</w:t>
      </w:r>
      <w:r w:rsidR="001A6DCB">
        <w:t>’</w:t>
      </w:r>
      <w:r w:rsidRPr="0059378C">
        <w:t xml:space="preserve"> [this] is sufficient to restrain voluntary or involuntary </w:t>
      </w:r>
      <w:r w:rsidRPr="0059378C">
        <w:lastRenderedPageBreak/>
        <w:t>alienation of the interest by a beneficiary to the maximum extent permitted by [Texas law].</w:t>
      </w:r>
      <w:r w:rsidR="001A6DCB">
        <w:t>”</w:t>
      </w:r>
      <w:r w:rsidRPr="0059378C">
        <w:rPr>
          <w:rStyle w:val="FootnoteReference"/>
        </w:rPr>
        <w:footnoteReference w:id="205"/>
      </w:r>
    </w:p>
    <w:p w14:paraId="286EB61A" w14:textId="39646C7A" w:rsidR="003A0665" w:rsidRDefault="003A0665" w:rsidP="00561F7C">
      <w:pPr>
        <w:pStyle w:val="b-bodytext"/>
        <w:spacing w:line="480" w:lineRule="auto"/>
      </w:pPr>
      <w:r w:rsidRPr="0059378C">
        <w:t>Additionally, the Texas legislature created a statutory fix for trusts lacking the desired spendthrift language in Texas Trust Code Section 113.029 which became effective September 1, 2009.</w:t>
      </w:r>
      <w:r w:rsidRPr="0059378C">
        <w:rPr>
          <w:rStyle w:val="FootnoteReference"/>
        </w:rPr>
        <w:footnoteReference w:id="206"/>
      </w:r>
    </w:p>
    <w:p w14:paraId="095B9B3D" w14:textId="77777777" w:rsidR="003C2A77" w:rsidRPr="0059378C" w:rsidRDefault="003C2A77" w:rsidP="00561F7C">
      <w:pPr>
        <w:pStyle w:val="b-bodytext"/>
        <w:spacing w:line="480" w:lineRule="auto"/>
      </w:pPr>
    </w:p>
    <w:p w14:paraId="3A4CDDCF" w14:textId="6F9677C8" w:rsidR="003A0665" w:rsidRPr="0059378C" w:rsidRDefault="003A0665" w:rsidP="00561F7C">
      <w:pPr>
        <w:pStyle w:val="b-bodytext"/>
        <w:spacing w:line="480" w:lineRule="auto"/>
        <w:rPr>
          <w:i/>
        </w:rPr>
      </w:pPr>
      <w:r w:rsidRPr="0059378C">
        <w:t>Section 113.029(b) provides that:</w:t>
      </w:r>
    </w:p>
    <w:p w14:paraId="31E62A4A" w14:textId="1D7CBD2D" w:rsidR="003A0665" w:rsidRPr="0059378C" w:rsidRDefault="00CF35D9" w:rsidP="00561F7C">
      <w:pPr>
        <w:pStyle w:val="b-bodytext"/>
        <w:spacing w:line="480" w:lineRule="auto"/>
        <w:ind w:left="446" w:hanging="446"/>
      </w:pPr>
      <w:r>
        <w:tab/>
      </w:r>
      <w:r w:rsidR="003A0665" w:rsidRPr="0059378C">
        <w:t>Subject to Subsection (d), and unless the terms of the trust expressly indicate that a requirement provided by this subsection does not apply:</w:t>
      </w:r>
    </w:p>
    <w:p w14:paraId="65F1156C" w14:textId="5DF8099E" w:rsidR="003A0665" w:rsidRPr="0059378C" w:rsidRDefault="00CF35D9" w:rsidP="00561F7C">
      <w:pPr>
        <w:pStyle w:val="b-bodytext"/>
        <w:tabs>
          <w:tab w:val="left" w:pos="900"/>
        </w:tabs>
        <w:spacing w:line="480" w:lineRule="auto"/>
        <w:ind w:left="446" w:hanging="446"/>
      </w:pPr>
      <w:r>
        <w:tab/>
      </w:r>
      <w:r w:rsidR="003A0665" w:rsidRPr="0059378C">
        <w:t>(1)</w:t>
      </w:r>
      <w:r>
        <w:tab/>
      </w:r>
      <w:r w:rsidR="003A0665" w:rsidRPr="0059378C">
        <w:t>a person, other than a settlor, who is a beneficiary and trustee of a trust that confers on the trustee a power to make discretionary distributions to or for the trustee</w:t>
      </w:r>
      <w:r w:rsidR="001A6DCB">
        <w:t>’</w:t>
      </w:r>
      <w:r w:rsidR="003A0665" w:rsidRPr="0059378C">
        <w:t>s personal benefit may exercise the power only in accordance with an ascertainable standard relating to the trustee</w:t>
      </w:r>
      <w:r w:rsidR="001A6DCB">
        <w:t>’</w:t>
      </w:r>
      <w:r w:rsidR="003A0665" w:rsidRPr="0059378C">
        <w:t xml:space="preserve">s individual health, education, support, or maintenance within the meaning of Section </w:t>
      </w:r>
      <w:r w:rsidR="003A0665">
        <w:t>2</w:t>
      </w:r>
      <w:r w:rsidR="003A0665" w:rsidRPr="0059378C">
        <w:t>041(b)(1)(A) or 2514(c)(1), Internal Revenue Code of 1986; and</w:t>
      </w:r>
    </w:p>
    <w:p w14:paraId="6CCFC771" w14:textId="2FCE15DB" w:rsidR="003A0665" w:rsidRDefault="00CF35D9" w:rsidP="00561F7C">
      <w:pPr>
        <w:pStyle w:val="b-bodytext"/>
        <w:tabs>
          <w:tab w:val="left" w:pos="900"/>
        </w:tabs>
        <w:spacing w:line="480" w:lineRule="auto"/>
        <w:ind w:left="446" w:hanging="446"/>
      </w:pPr>
      <w:r>
        <w:tab/>
      </w:r>
      <w:r w:rsidR="003A0665" w:rsidRPr="0059378C">
        <w:t>(2)</w:t>
      </w:r>
      <w:r>
        <w:tab/>
      </w:r>
      <w:r w:rsidR="003A0665" w:rsidRPr="0059378C">
        <w:t>a trustee may not exercise a power to make discretionary distributions to satisfy a legal obligation of support that the trustee personally owes another person.</w:t>
      </w:r>
      <w:r w:rsidR="001A6DCB">
        <w:t>”</w:t>
      </w:r>
      <w:r w:rsidR="003A0665" w:rsidRPr="0059378C">
        <w:rPr>
          <w:rStyle w:val="FootnoteReference"/>
        </w:rPr>
        <w:footnoteReference w:id="207"/>
      </w:r>
    </w:p>
    <w:p w14:paraId="10294F2C" w14:textId="77777777" w:rsidR="003C2A77" w:rsidRPr="0059378C" w:rsidRDefault="003C2A77" w:rsidP="00561F7C">
      <w:pPr>
        <w:pStyle w:val="b-bodytext"/>
        <w:tabs>
          <w:tab w:val="left" w:pos="900"/>
        </w:tabs>
        <w:spacing w:line="480" w:lineRule="auto"/>
        <w:ind w:left="446" w:hanging="446"/>
      </w:pPr>
    </w:p>
    <w:p w14:paraId="7A2339E0" w14:textId="5AAF7C80" w:rsidR="003A0665" w:rsidRDefault="00CF35D9" w:rsidP="00561F7C">
      <w:pPr>
        <w:pStyle w:val="b-bodytext"/>
        <w:spacing w:line="480" w:lineRule="auto"/>
        <w:ind w:left="446" w:hanging="446"/>
      </w:pPr>
      <w:r>
        <w:tab/>
      </w:r>
      <w:r w:rsidR="00F60A78">
        <w:t>(d)</w:t>
      </w:r>
      <w:r w:rsidR="003A0665" w:rsidRPr="0059378C">
        <w:t xml:space="preserve"> Section 113.029(b): does not apply to: (1) a power held by the settlor</w:t>
      </w:r>
      <w:r w:rsidR="001A6DCB">
        <w:t>’</w:t>
      </w:r>
      <w:r w:rsidR="003A0665" w:rsidRPr="0059378C">
        <w:t>s spouse who is the trustee of a trust for which a marital deduction, as defined by Section 2056(b)(5) or 2523(e), Internal Revenue Code of 1986, was previously allowed; (2) any trust during any period that the trust may be revoked or amended by its settlor; or (3) a trust if contributions to the trust qualify for the annual exclusion under Section 2503(c), Internal Revenue Code of 1986.</w:t>
      </w:r>
      <w:r w:rsidR="003A0665" w:rsidRPr="0059378C">
        <w:rPr>
          <w:rStyle w:val="FootnoteReference"/>
        </w:rPr>
        <w:footnoteReference w:id="208"/>
      </w:r>
    </w:p>
    <w:p w14:paraId="71F024E9" w14:textId="77777777" w:rsidR="003C2A77" w:rsidRPr="0059378C" w:rsidRDefault="003C2A77" w:rsidP="00561F7C">
      <w:pPr>
        <w:pStyle w:val="b-bodytext"/>
        <w:spacing w:line="480" w:lineRule="auto"/>
        <w:ind w:left="446" w:hanging="446"/>
      </w:pPr>
    </w:p>
    <w:p w14:paraId="51A3F545" w14:textId="7FBC62B1" w:rsidR="003A0665" w:rsidRPr="0059378C" w:rsidRDefault="003A0665" w:rsidP="00561F7C">
      <w:pPr>
        <w:pStyle w:val="b-bodytext"/>
        <w:spacing w:line="480" w:lineRule="auto"/>
      </w:pPr>
      <w:r w:rsidRPr="0059378C">
        <w:t xml:space="preserve">Also, </w:t>
      </w:r>
      <w:r w:rsidR="00160285">
        <w:t>s</w:t>
      </w:r>
      <w:r w:rsidRPr="0059378C">
        <w:t>ection 112.035(d) was added to confirm that a settlor will not be considered a beneficiary solely because the trustee of an intentionally defective grantor trust can pay or reimburse income taxes.</w:t>
      </w:r>
      <w:r w:rsidRPr="0059378C">
        <w:rPr>
          <w:rStyle w:val="FootnoteReference"/>
        </w:rPr>
        <w:footnoteReference w:id="209"/>
      </w:r>
      <w:r w:rsidRPr="0059378C">
        <w:t xml:space="preserve">  Note, </w:t>
      </w:r>
      <w:r w:rsidR="00160285">
        <w:t>s</w:t>
      </w:r>
      <w:r w:rsidRPr="0059378C">
        <w:t>ection 112.035 is one example where the Texas Trust Code has adopted provisions that conflict with the provisions of the Restatement (Third) of Trusts.</w:t>
      </w:r>
      <w:r w:rsidRPr="0059378C">
        <w:rPr>
          <w:rStyle w:val="FootnoteReference"/>
        </w:rPr>
        <w:footnoteReference w:id="210"/>
      </w:r>
      <w:r w:rsidRPr="0059378C">
        <w:t xml:space="preserve">  In the event of such conflicts, the Texas Trust Code provision will control, at least as long as the trust</w:t>
      </w:r>
      <w:r w:rsidR="001A6DCB">
        <w:t>’</w:t>
      </w:r>
      <w:r w:rsidRPr="0059378C">
        <w:t>s situs remains in Texas.</w:t>
      </w:r>
      <w:r w:rsidRPr="0059378C">
        <w:rPr>
          <w:rStyle w:val="FootnoteReference"/>
        </w:rPr>
        <w:footnoteReference w:id="211"/>
      </w:r>
    </w:p>
    <w:p w14:paraId="1A054983" w14:textId="77777777" w:rsidR="003A0665" w:rsidRDefault="003A0665" w:rsidP="00561F7C">
      <w:pPr>
        <w:pStyle w:val="a-5thSubHead"/>
        <w:spacing w:line="480" w:lineRule="auto"/>
        <w:rPr>
          <w:iCs/>
        </w:rPr>
      </w:pPr>
      <w:bookmarkStart w:id="77" w:name="_Toc31203616"/>
      <w:r w:rsidRPr="007E12F8">
        <w:lastRenderedPageBreak/>
        <w:t>ii.  Not Texas</w:t>
      </w:r>
      <w:bookmarkEnd w:id="77"/>
    </w:p>
    <w:p w14:paraId="0E7D4F98" w14:textId="565B190C" w:rsidR="003A0665" w:rsidRPr="0059378C" w:rsidRDefault="003A0665" w:rsidP="00561F7C">
      <w:pPr>
        <w:pStyle w:val="b-bodytext"/>
        <w:spacing w:line="480" w:lineRule="auto"/>
      </w:pPr>
      <w:r w:rsidRPr="0059378C">
        <w:t>Not all states offer this same protection from creditors if a beneficiary also serves as trustee of a trust, even if distributions are limited to an ascertainable standard.</w:t>
      </w:r>
      <w:r w:rsidRPr="0059378C">
        <w:rPr>
          <w:rStyle w:val="FootnoteReference"/>
        </w:rPr>
        <w:footnoteReference w:id="212"/>
      </w:r>
    </w:p>
    <w:p w14:paraId="78632500" w14:textId="7FDCB49A" w:rsidR="003A0665" w:rsidRPr="0059378C" w:rsidRDefault="003A0665" w:rsidP="00561F7C">
      <w:pPr>
        <w:pStyle w:val="b-bodytext"/>
        <w:spacing w:line="480" w:lineRule="auto"/>
      </w:pPr>
      <w:r w:rsidRPr="0059378C">
        <w:t>The Restatement (Third) of Trusts speaks to this issue and explains the rationale behind not extending the same degree of creditor protection to a beneficiary-trustee:</w:t>
      </w:r>
    </w:p>
    <w:p w14:paraId="0E8F6657" w14:textId="550FD642" w:rsidR="003A0665" w:rsidRDefault="003A0665" w:rsidP="00561F7C">
      <w:pPr>
        <w:pStyle w:val="b-TextBlockQuote"/>
        <w:spacing w:line="480" w:lineRule="auto"/>
      </w:pPr>
      <w:r w:rsidRPr="0059378C">
        <w:t xml:space="preserve">Sometimes a beneficiary is trustee of the discretionary trust, with authority to determine his or her own benefits. In such a case, a rule </w:t>
      </w:r>
      <w:proofErr w:type="gramStart"/>
      <w:r w:rsidRPr="0059378C">
        <w:t>similar to</w:t>
      </w:r>
      <w:proofErr w:type="gramEnd"/>
      <w:r w:rsidRPr="0059378C">
        <w:t xml:space="preserve"> that</w:t>
      </w:r>
      <w:r w:rsidR="00CF35D9">
        <w:t> </w:t>
      </w:r>
      <w:r w:rsidRPr="0059378C">
        <w:t>.</w:t>
      </w:r>
      <w:r w:rsidR="00CF35D9">
        <w:t> </w:t>
      </w:r>
      <w:r w:rsidRPr="0059378C">
        <w:t>.</w:t>
      </w:r>
      <w:r w:rsidR="00CF35D9">
        <w:t> </w:t>
      </w:r>
      <w:r w:rsidRPr="0059378C">
        <w:t>.</w:t>
      </w:r>
      <w:r w:rsidR="00CF35D9">
        <w:t> </w:t>
      </w:r>
      <w:r w:rsidRPr="0059378C">
        <w:t xml:space="preserve">[for self-settled trusts] applies, with creditors able to reach from time to time the maximum amount the trustee-beneficiary can properly take.  As in other </w:t>
      </w:r>
      <w:proofErr w:type="spellStart"/>
      <w:r w:rsidRPr="0059378C">
        <w:t>nonsettlor</w:t>
      </w:r>
      <w:proofErr w:type="spellEnd"/>
      <w:r w:rsidRPr="0059378C">
        <w:t>-beneficiary situations, the court may reserve a portion of that amount for the beneficiary</w:t>
      </w:r>
      <w:r w:rsidR="001A6DCB">
        <w:t>’</w:t>
      </w:r>
      <w:r w:rsidRPr="0059378C">
        <w:t>s actual needs for reasonable support, health care, and education</w:t>
      </w:r>
      <w:r w:rsidR="00DE269F">
        <w:t xml:space="preserve"> </w:t>
      </w:r>
      <w:proofErr w:type="gramStart"/>
      <w:r w:rsidRPr="0059378C">
        <w:t>.</w:t>
      </w:r>
      <w:r w:rsidR="00CF35D9">
        <w:t> </w:t>
      </w:r>
      <w:r w:rsidRPr="0059378C">
        <w:t>.</w:t>
      </w:r>
      <w:r w:rsidR="00CF35D9">
        <w:t> </w:t>
      </w:r>
      <w:r w:rsidRPr="0059378C">
        <w:t>.</w:t>
      </w:r>
      <w:r w:rsidR="00CF35D9">
        <w:t> </w:t>
      </w:r>
      <w:r w:rsidRPr="0059378C">
        <w:t>.</w:t>
      </w:r>
      <w:proofErr w:type="gramEnd"/>
      <w:r w:rsidR="00CF35D9">
        <w:t>  </w:t>
      </w:r>
      <w:r w:rsidRPr="0059378C">
        <w:t>The beneficiary</w:t>
      </w:r>
      <w:r w:rsidR="001A6DCB">
        <w:t>’</w:t>
      </w:r>
      <w:r w:rsidRPr="0059378C">
        <w:t>s rights and authority represent a limited form of ownership equivalence analogous to certain general powers</w:t>
      </w:r>
      <w:r w:rsidR="00DE269F">
        <w:t xml:space="preserve"> </w:t>
      </w:r>
      <w:proofErr w:type="gramStart"/>
      <w:r w:rsidRPr="0059378C">
        <w:t>.</w:t>
      </w:r>
      <w:r w:rsidR="00CF35D9">
        <w:t> </w:t>
      </w:r>
      <w:r w:rsidRPr="0059378C">
        <w:t>.</w:t>
      </w:r>
      <w:r w:rsidR="00CF35D9">
        <w:t> </w:t>
      </w:r>
      <w:r w:rsidRPr="0059378C">
        <w:t>.</w:t>
      </w:r>
      <w:r w:rsidR="00CF35D9">
        <w:t> </w:t>
      </w:r>
      <w:r w:rsidRPr="0059378C">
        <w:t>;</w:t>
      </w:r>
      <w:proofErr w:type="gramEnd"/>
      <w:r w:rsidRPr="0059378C">
        <w:t xml:space="preserve"> thus, the rule of this Comment is similarly unaffected by a purported spendthrift restraint</w:t>
      </w:r>
      <w:r w:rsidR="00DE269F">
        <w:t xml:space="preserve"> .</w:t>
      </w:r>
      <w:r w:rsidR="00CF35D9">
        <w:t> </w:t>
      </w:r>
      <w:r w:rsidRPr="0059378C">
        <w:t>.</w:t>
      </w:r>
      <w:r w:rsidR="00CF35D9">
        <w:t> </w:t>
      </w:r>
      <w:r w:rsidRPr="0059378C">
        <w:t>.</w:t>
      </w:r>
      <w:r w:rsidR="00CF35D9">
        <w:t> </w:t>
      </w:r>
      <w:r w:rsidRPr="0059378C">
        <w:t>.</w:t>
      </w:r>
      <w:r w:rsidRPr="0059378C">
        <w:rPr>
          <w:rStyle w:val="FootnoteReference"/>
        </w:rPr>
        <w:footnoteReference w:id="213"/>
      </w:r>
    </w:p>
    <w:p w14:paraId="2EF7984C" w14:textId="46D1985C" w:rsidR="003A0665" w:rsidRDefault="003A0665" w:rsidP="00561F7C">
      <w:pPr>
        <w:pStyle w:val="b-bodytext"/>
        <w:spacing w:line="480" w:lineRule="auto"/>
      </w:pPr>
      <w:r w:rsidRPr="0059378C">
        <w:lastRenderedPageBreak/>
        <w:t>In the U.S., twenty-three states have adopted the Uniform Trust Code (</w:t>
      </w:r>
      <w:r w:rsidR="001A6DCB">
        <w:t>“</w:t>
      </w:r>
      <w:commentRangeStart w:id="78"/>
      <w:r w:rsidRPr="0059378C">
        <w:t>UTC</w:t>
      </w:r>
      <w:commentRangeEnd w:id="78"/>
      <w:r w:rsidR="00242341">
        <w:rPr>
          <w:rStyle w:val="CommentReference"/>
          <w:rFonts w:cs="Times New Roman"/>
        </w:rPr>
        <w:commentReference w:id="78"/>
      </w:r>
      <w:r w:rsidR="001A6DCB">
        <w:t>”</w:t>
      </w:r>
      <w:r w:rsidRPr="0059378C">
        <w:t>), at least in part, and fourteen of these states adopted section 504(e) of the UTC, or substantially similar language, which reads as follows:</w:t>
      </w:r>
    </w:p>
    <w:p w14:paraId="6B9A77FE" w14:textId="77777777" w:rsidR="003A0665" w:rsidRPr="0059378C" w:rsidRDefault="003A0665" w:rsidP="00561F7C">
      <w:pPr>
        <w:spacing w:line="480" w:lineRule="auto"/>
        <w:ind w:firstLine="720"/>
      </w:pPr>
    </w:p>
    <w:p w14:paraId="1FFA4A0E" w14:textId="4F5FA12C" w:rsidR="003A0665" w:rsidRDefault="003A0665" w:rsidP="00561F7C">
      <w:pPr>
        <w:pStyle w:val="b-TextBlockQuote"/>
        <w:spacing w:before="0" w:after="0" w:line="480" w:lineRule="auto"/>
      </w:pPr>
      <w:r w:rsidRPr="0059378C">
        <w:t>(e) If the trustee</w:t>
      </w:r>
      <w:r w:rsidR="001A6DCB">
        <w:t>’</w:t>
      </w:r>
      <w:r w:rsidRPr="0059378C">
        <w:t>s or co-trustee</w:t>
      </w:r>
      <w:r w:rsidR="001A6DCB">
        <w:t>’</w:t>
      </w:r>
      <w:r w:rsidRPr="0059378C">
        <w:t>s discretion to make distributions for the trustee</w:t>
      </w:r>
      <w:r w:rsidR="001A6DCB">
        <w:t>’</w:t>
      </w:r>
      <w:r w:rsidRPr="0059378C">
        <w:t>s or co-trustee</w:t>
      </w:r>
      <w:r w:rsidR="001A6DCB">
        <w:t>’</w:t>
      </w:r>
      <w:r w:rsidRPr="0059378C">
        <w:t xml:space="preserve">s own benefit is limited by an ascertainable standard, a creditor may not reach or compel distribution of the beneficial interest </w:t>
      </w:r>
      <w:r w:rsidRPr="0059378C">
        <w:rPr>
          <w:b/>
        </w:rPr>
        <w:t>except to the extent the interest would be subject to the creditor</w:t>
      </w:r>
      <w:r w:rsidR="001A6DCB">
        <w:rPr>
          <w:b/>
        </w:rPr>
        <w:t>’</w:t>
      </w:r>
      <w:r w:rsidRPr="0059378C">
        <w:rPr>
          <w:b/>
        </w:rPr>
        <w:t>s claim were the beneficiary not acting as trustee or co-trustee</w:t>
      </w:r>
      <w:r w:rsidRPr="0059378C">
        <w:t>.</w:t>
      </w:r>
      <w:r w:rsidRPr="0059378C">
        <w:rPr>
          <w:rStyle w:val="FootnoteReference"/>
        </w:rPr>
        <w:footnoteReference w:id="214"/>
      </w:r>
      <w:r w:rsidRPr="0059378C">
        <w:t xml:space="preserve"> </w:t>
      </w:r>
    </w:p>
    <w:p w14:paraId="5FF7BB73" w14:textId="77777777" w:rsidR="003A0665" w:rsidRPr="0059378C" w:rsidRDefault="003A0665" w:rsidP="00561F7C">
      <w:pPr>
        <w:spacing w:line="480" w:lineRule="auto"/>
        <w:ind w:left="720" w:right="720"/>
        <w:rPr>
          <w:i/>
        </w:rPr>
      </w:pPr>
    </w:p>
    <w:p w14:paraId="2FEC1122" w14:textId="1BAE7F58" w:rsidR="003A0665" w:rsidRPr="0059378C" w:rsidRDefault="003A0665" w:rsidP="00561F7C">
      <w:pPr>
        <w:pStyle w:val="b-bodytext"/>
        <w:tabs>
          <w:tab w:val="left" w:pos="1170"/>
        </w:tabs>
        <w:spacing w:line="480" w:lineRule="auto"/>
      </w:pPr>
      <w:r w:rsidRPr="0059378C">
        <w:t>Accordingly, if a creditor showed that a third-party trustee could be compelled under the trust</w:t>
      </w:r>
      <w:r w:rsidR="001A6DCB">
        <w:t>’</w:t>
      </w:r>
      <w:r w:rsidRPr="0059378C">
        <w:t>s distribution standard to distribute property to the beneficiary, then the court may order the trustee to distribute such amounts to the beneficiary where they would then be subject to seizure by the creditor.</w:t>
      </w:r>
      <w:r w:rsidRPr="0059378C">
        <w:rPr>
          <w:rStyle w:val="FootnoteReference"/>
        </w:rPr>
        <w:footnoteReference w:id="215"/>
      </w:r>
    </w:p>
    <w:p w14:paraId="2ED675BB" w14:textId="0A9D4F9C" w:rsidR="003A0665" w:rsidRPr="001618B7" w:rsidRDefault="003A0665" w:rsidP="00561F7C">
      <w:pPr>
        <w:pStyle w:val="a-3rdSubHd"/>
        <w:spacing w:line="480" w:lineRule="auto"/>
      </w:pPr>
      <w:bookmarkStart w:id="79" w:name="_Toc31203617"/>
      <w:r w:rsidRPr="001618B7">
        <w:lastRenderedPageBreak/>
        <w:t>3.</w:t>
      </w:r>
      <w:bookmarkStart w:id="80" w:name="_Toc7167205"/>
      <w:r w:rsidRPr="001618B7">
        <w:t xml:space="preserve">  Using Distribution Standards to Encourage/Discourage Behaviors</w:t>
      </w:r>
      <w:bookmarkEnd w:id="79"/>
      <w:bookmarkEnd w:id="80"/>
    </w:p>
    <w:p w14:paraId="746F4439" w14:textId="77777777" w:rsidR="003A0665" w:rsidRDefault="003A0665" w:rsidP="00561F7C">
      <w:pPr>
        <w:pStyle w:val="a-4thSubHead"/>
        <w:spacing w:line="480" w:lineRule="auto"/>
      </w:pPr>
      <w:bookmarkStart w:id="81" w:name="_Toc31203618"/>
      <w:r w:rsidRPr="0059378C">
        <w:t>a.  Incentivizing Distributions</w:t>
      </w:r>
      <w:bookmarkEnd w:id="81"/>
    </w:p>
    <w:p w14:paraId="6EA81E11" w14:textId="606A9583" w:rsidR="003A0665" w:rsidRPr="0059378C" w:rsidRDefault="003A0665" w:rsidP="00561F7C">
      <w:pPr>
        <w:pStyle w:val="b-bodytext"/>
        <w:spacing w:line="480" w:lineRule="auto"/>
      </w:pPr>
      <w:r w:rsidRPr="0059378C">
        <w:t xml:space="preserve">For a </w:t>
      </w:r>
      <w:r w:rsidR="00242341">
        <w:t>settlor who wishes to</w:t>
      </w:r>
      <w:r w:rsidRPr="0059378C">
        <w:t xml:space="preserve"> incentivize a beneficiary to take</w:t>
      </w:r>
      <w:r w:rsidR="00242341">
        <w:t xml:space="preserve"> a specific action or actions</w:t>
      </w:r>
      <w:r w:rsidRPr="0059378C">
        <w:t>, linking trust distributions to such actions may seem appealing.</w:t>
      </w:r>
      <w:bookmarkStart w:id="82" w:name="_Ref33696665"/>
      <w:r w:rsidRPr="0059378C">
        <w:rPr>
          <w:rStyle w:val="FootnoteReference"/>
        </w:rPr>
        <w:footnoteReference w:id="216"/>
      </w:r>
      <w:bookmarkEnd w:id="82"/>
      <w:r w:rsidRPr="0059378C">
        <w:t xml:space="preserve">  Some examples of specific incentive provisions are —</w:t>
      </w:r>
    </w:p>
    <w:p w14:paraId="42965229" w14:textId="77777777" w:rsidR="003A0665" w:rsidRPr="0059378C" w:rsidRDefault="003A0665" w:rsidP="00561F7C">
      <w:pPr>
        <w:pStyle w:val="b-bodytext"/>
        <w:numPr>
          <w:ilvl w:val="0"/>
          <w:numId w:val="10"/>
        </w:numPr>
        <w:spacing w:line="480" w:lineRule="auto"/>
        <w:ind w:left="900" w:hanging="450"/>
      </w:pPr>
      <w:r w:rsidRPr="0059378C">
        <w:t xml:space="preserve">Distribution of certain amount upon earning an undergraduate and/or graduate </w:t>
      </w:r>
      <w:proofErr w:type="gramStart"/>
      <w:r w:rsidRPr="0059378C">
        <w:t>degree;</w:t>
      </w:r>
      <w:proofErr w:type="gramEnd"/>
    </w:p>
    <w:p w14:paraId="1BDABC99" w14:textId="77777777" w:rsidR="003A0665" w:rsidRPr="0059378C" w:rsidRDefault="003A0665" w:rsidP="00561F7C">
      <w:pPr>
        <w:pStyle w:val="b-bodytext"/>
        <w:numPr>
          <w:ilvl w:val="0"/>
          <w:numId w:val="10"/>
        </w:numPr>
        <w:spacing w:line="480" w:lineRule="auto"/>
        <w:ind w:left="900" w:hanging="450"/>
      </w:pPr>
      <w:r w:rsidRPr="0059378C">
        <w:t>Matching earned income up to a specified amount (</w:t>
      </w:r>
      <w:proofErr w:type="gramStart"/>
      <w:r w:rsidRPr="0059378C">
        <w:rPr>
          <w:i/>
        </w:rPr>
        <w:t>e.g</w:t>
      </w:r>
      <w:r w:rsidRPr="0059378C">
        <w:t>.</w:t>
      </w:r>
      <w:proofErr w:type="gramEnd"/>
      <w:r w:rsidRPr="0059378C">
        <w:t xml:space="preserve"> $100,000);</w:t>
      </w:r>
    </w:p>
    <w:p w14:paraId="3181FAEC" w14:textId="77777777" w:rsidR="003A0665" w:rsidRPr="0059378C" w:rsidRDefault="003A0665" w:rsidP="00561F7C">
      <w:pPr>
        <w:pStyle w:val="b-bodytext"/>
        <w:numPr>
          <w:ilvl w:val="0"/>
          <w:numId w:val="10"/>
        </w:numPr>
        <w:spacing w:line="480" w:lineRule="auto"/>
        <w:ind w:left="900" w:hanging="450"/>
      </w:pPr>
      <w:r w:rsidRPr="0059378C">
        <w:t>Specified amount of funds (</w:t>
      </w:r>
      <w:proofErr w:type="gramStart"/>
      <w:r w:rsidRPr="0059378C">
        <w:rPr>
          <w:i/>
        </w:rPr>
        <w:t>e.g.</w:t>
      </w:r>
      <w:proofErr w:type="gramEnd"/>
      <w:r w:rsidRPr="0059378C">
        <w:t xml:space="preserve"> $200,000) to start a business; and</w:t>
      </w:r>
    </w:p>
    <w:p w14:paraId="6283F232" w14:textId="48B8DFB5" w:rsidR="003A0665" w:rsidRPr="0059378C" w:rsidRDefault="003A0665" w:rsidP="00561F7C">
      <w:pPr>
        <w:pStyle w:val="b-bodytext"/>
        <w:numPr>
          <w:ilvl w:val="0"/>
          <w:numId w:val="10"/>
        </w:numPr>
        <w:spacing w:line="480" w:lineRule="auto"/>
        <w:ind w:left="900" w:hanging="450"/>
      </w:pPr>
      <w:r w:rsidRPr="0059378C">
        <w:t>Providing a monthly payment (</w:t>
      </w:r>
      <w:proofErr w:type="gramStart"/>
      <w:r w:rsidRPr="0059378C">
        <w:rPr>
          <w:i/>
        </w:rPr>
        <w:t>e.g.</w:t>
      </w:r>
      <w:proofErr w:type="gramEnd"/>
      <w:r w:rsidRPr="0059378C">
        <w:t xml:space="preserve"> $10,000) to the </w:t>
      </w:r>
      <w:r w:rsidR="001A6DCB">
        <w:t>“</w:t>
      </w:r>
      <w:r w:rsidRPr="0059378C">
        <w:t>stay-at-home parent.</w:t>
      </w:r>
      <w:r w:rsidR="001A6DCB">
        <w:t>”</w:t>
      </w:r>
      <w:r w:rsidRPr="0059378C">
        <w:rPr>
          <w:rStyle w:val="FootnoteReference"/>
          <w:rFonts w:cs="Times New Roman"/>
        </w:rPr>
        <w:footnoteReference w:id="217"/>
      </w:r>
    </w:p>
    <w:p w14:paraId="486D8A68" w14:textId="7B518C13" w:rsidR="003A0665" w:rsidRPr="0059378C" w:rsidRDefault="003A0665" w:rsidP="00561F7C">
      <w:pPr>
        <w:pStyle w:val="b-bodytext"/>
        <w:spacing w:line="480" w:lineRule="auto"/>
      </w:pPr>
      <w:r w:rsidRPr="0059378C">
        <w:t>A client</w:t>
      </w:r>
      <w:r w:rsidR="001A6DCB">
        <w:t>’</w:t>
      </w:r>
      <w:r w:rsidRPr="0059378C">
        <w:t>s heart is usually in the right place when wanting to incentivize beneficiaries, but such terms can easily backfire when unanticipated circumstances arise.</w:t>
      </w:r>
      <w:r w:rsidRPr="0059378C">
        <w:rPr>
          <w:rStyle w:val="FootnoteReference"/>
        </w:rPr>
        <w:footnoteReference w:id="218"/>
      </w:r>
      <w:r w:rsidRPr="0059378C">
        <w:t xml:space="preserve">  Should a distribution be made to a beneficiary who opted to graduate early from an unaccredited online college rather than a four-year university in order to get the promised distribution?</w:t>
      </w:r>
      <w:r w:rsidR="00491726">
        <w:rPr>
          <w:rStyle w:val="FootnoteReference"/>
        </w:rPr>
        <w:footnoteReference w:id="219"/>
      </w:r>
      <w:r w:rsidRPr="0059378C">
        <w:t xml:space="preserve">  How many times should </w:t>
      </w:r>
      <w:r w:rsidR="001A6DCB">
        <w:t>“</w:t>
      </w:r>
      <w:r w:rsidRPr="0059378C">
        <w:t>start-up</w:t>
      </w:r>
      <w:r w:rsidR="001A6DCB">
        <w:t>”</w:t>
      </w:r>
      <w:r w:rsidRPr="0059378C">
        <w:t xml:space="preserve"> distributions be made to a beneficiary to establish a </w:t>
      </w:r>
      <w:r w:rsidRPr="0059378C">
        <w:lastRenderedPageBreak/>
        <w:t>business if the beneficiary</w:t>
      </w:r>
      <w:r w:rsidR="001A6DCB">
        <w:t>’</w:t>
      </w:r>
      <w:r w:rsidRPr="0059378C">
        <w:t xml:space="preserve">s prior businesses have already </w:t>
      </w:r>
      <w:commentRangeStart w:id="83"/>
      <w:r w:rsidRPr="0059378C">
        <w:t>failed</w:t>
      </w:r>
      <w:commentRangeEnd w:id="83"/>
      <w:r w:rsidR="00242341">
        <w:rPr>
          <w:rStyle w:val="CommentReference"/>
          <w:rFonts w:cs="Times New Roman"/>
        </w:rPr>
        <w:commentReference w:id="83"/>
      </w:r>
      <w:r w:rsidRPr="0059378C">
        <w:t>?  Does the client want to tie distributions to salary if it would discourage a beneficiary from following his dream to be a teacher?</w:t>
      </w:r>
      <w:r w:rsidR="00C6595B">
        <w:rPr>
          <w:rStyle w:val="FootnoteReference"/>
        </w:rPr>
        <w:footnoteReference w:id="220"/>
      </w:r>
    </w:p>
    <w:p w14:paraId="2D638449" w14:textId="7FB911DD" w:rsidR="003A0665" w:rsidRPr="0059378C" w:rsidRDefault="003A0665" w:rsidP="00561F7C">
      <w:pPr>
        <w:pStyle w:val="b-bodytext"/>
        <w:spacing w:line="480" w:lineRule="auto"/>
      </w:pPr>
      <w:r w:rsidRPr="0059378C">
        <w:t>Estate planning attorneys also need to discuss with a client whether a specific incentive could simply be beyond a beneficiary</w:t>
      </w:r>
      <w:r w:rsidR="001A6DCB">
        <w:t>’</w:t>
      </w:r>
      <w:r w:rsidRPr="0059378C">
        <w:t>s ability to achieve.</w:t>
      </w:r>
      <w:r w:rsidRPr="0059378C">
        <w:rPr>
          <w:rStyle w:val="FootnoteReference"/>
        </w:rPr>
        <w:footnoteReference w:id="221"/>
      </w:r>
      <w:r w:rsidRPr="0059378C">
        <w:t xml:space="preserve"> </w:t>
      </w:r>
      <w:r w:rsidR="00E3327F">
        <w:t> </w:t>
      </w:r>
      <w:r w:rsidRPr="0059378C">
        <w:t>Not all persons are intellectually capable of certain levels of education.</w:t>
      </w:r>
      <w:r w:rsidRPr="0059378C">
        <w:rPr>
          <w:rStyle w:val="FootnoteReference"/>
        </w:rPr>
        <w:footnoteReference w:id="222"/>
      </w:r>
      <w:r w:rsidRPr="0059378C">
        <w:t xml:space="preserve">  Moreover, although the client might equate a graduate degree with maturity based on his own life experience, a beneficiary who struggles with formal education, but is nevertheless a brilliant entrepreneur</w:t>
      </w:r>
      <w:r w:rsidR="00C6595B">
        <w:t>—</w:t>
      </w:r>
      <w:r w:rsidRPr="0059378C">
        <w:t>Steve Jobs</w:t>
      </w:r>
      <w:r w:rsidR="00C6595B">
        <w:t>,</w:t>
      </w:r>
      <w:r w:rsidRPr="0059378C">
        <w:t xml:space="preserve"> Michael Dell</w:t>
      </w:r>
      <w:r w:rsidR="00C6595B">
        <w:t>—</w:t>
      </w:r>
      <w:r w:rsidRPr="0059378C">
        <w:t>might possess the maturity that the client envisioned.</w:t>
      </w:r>
      <w:r w:rsidRPr="0059378C">
        <w:rPr>
          <w:rStyle w:val="FootnoteReference"/>
        </w:rPr>
        <w:footnoteReference w:id="223"/>
      </w:r>
    </w:p>
    <w:p w14:paraId="5DD6A974" w14:textId="0A94E6BD" w:rsidR="003A0665" w:rsidRPr="0059378C" w:rsidRDefault="003A0665" w:rsidP="00561F7C">
      <w:pPr>
        <w:pStyle w:val="b-bodytext"/>
        <w:spacing w:line="480" w:lineRule="auto"/>
      </w:pPr>
      <w:r w:rsidRPr="0059378C">
        <w:t xml:space="preserve">Moreover, unless a client intends to skip one or more generations of descendants when creating such trusts, trust beneficiaries a generation below the settlor </w:t>
      </w:r>
      <w:proofErr w:type="gramStart"/>
      <w:r w:rsidR="00242341">
        <w:t xml:space="preserve">may </w:t>
      </w:r>
      <w:r w:rsidRPr="0059378C">
        <w:t xml:space="preserve"> likely</w:t>
      </w:r>
      <w:proofErr w:type="gramEnd"/>
      <w:r w:rsidRPr="0059378C">
        <w:t xml:space="preserve"> </w:t>
      </w:r>
      <w:r w:rsidR="00242341">
        <w:t xml:space="preserve">be </w:t>
      </w:r>
      <w:r w:rsidRPr="0059378C">
        <w:t>past the age of attending school or establishing careers by the time  trusts</w:t>
      </w:r>
      <w:r w:rsidR="00242341">
        <w:t xml:space="preserve"> </w:t>
      </w:r>
      <w:r w:rsidR="003506F4">
        <w:t>created under a parent’s testamentary estate plans</w:t>
      </w:r>
      <w:r w:rsidRPr="0059378C">
        <w:t xml:space="preserve"> are </w:t>
      </w:r>
      <w:r w:rsidR="003506F4">
        <w:t>actually established</w:t>
      </w:r>
      <w:r w:rsidRPr="0059378C">
        <w:t xml:space="preserve"> and funded.</w:t>
      </w:r>
      <w:r w:rsidRPr="0059378C">
        <w:rPr>
          <w:rStyle w:val="FootnoteReference"/>
        </w:rPr>
        <w:footnoteReference w:id="224"/>
      </w:r>
    </w:p>
    <w:p w14:paraId="0F2FA52E" w14:textId="491343BC" w:rsidR="003A0665" w:rsidRPr="0059378C" w:rsidRDefault="003A0665" w:rsidP="00561F7C">
      <w:pPr>
        <w:pStyle w:val="b-bodytext"/>
        <w:spacing w:line="480" w:lineRule="auto"/>
      </w:pPr>
      <w:r w:rsidRPr="0059378C">
        <w:t xml:space="preserve">Another potential issue is that defining specific incentives now </w:t>
      </w:r>
      <w:r w:rsidR="003506F4">
        <w:t xml:space="preserve">for </w:t>
      </w:r>
      <w:proofErr w:type="spellStart"/>
      <w:r w:rsidR="003506F4">
        <w:t>future</w:t>
      </w:r>
      <w:r w:rsidRPr="0059378C">
        <w:t>trust</w:t>
      </w:r>
      <w:proofErr w:type="spellEnd"/>
      <w:r w:rsidRPr="0059378C">
        <w:t xml:space="preserve"> beneficiaries increases the likelihood that societal changes may </w:t>
      </w:r>
      <w:r w:rsidRPr="0059378C">
        <w:lastRenderedPageBreak/>
        <w:t>warp client intent.</w:t>
      </w:r>
      <w:r w:rsidRPr="0059378C">
        <w:rPr>
          <w:rStyle w:val="FootnoteReference"/>
        </w:rPr>
        <w:footnoteReference w:id="225"/>
      </w:r>
      <w:r w:rsidRPr="0059378C">
        <w:t xml:space="preserve">  </w:t>
      </w:r>
      <w:r w:rsidR="003506F4">
        <w:t>A</w:t>
      </w:r>
      <w:r w:rsidRPr="0059378C">
        <w:t xml:space="preserve"> settlor who wanted to compensate a parent for staying home to raise children would have undoubtedly referenced a </w:t>
      </w:r>
      <w:r w:rsidR="001A6DCB">
        <w:t>“</w:t>
      </w:r>
      <w:r w:rsidRPr="0059378C">
        <w:t>stay-at-home mom</w:t>
      </w:r>
      <w:r w:rsidR="001A6DCB">
        <w:t>”</w:t>
      </w:r>
      <w:r w:rsidR="003506F4">
        <w:t xml:space="preserve"> in a trust drafted in the 1950s.  If the trust itself was not established until a much later date, such language may inadvertently thwart the settlor’s intent if dad, not mom, was the parent who stayed home to care for children.</w:t>
      </w:r>
      <w:r w:rsidRPr="0059378C">
        <w:rPr>
          <w:rStyle w:val="FootnoteReference"/>
        </w:rPr>
        <w:footnoteReference w:id="226"/>
      </w:r>
    </w:p>
    <w:p w14:paraId="0DBF6AD4" w14:textId="091B2E24" w:rsidR="003A0665" w:rsidRPr="0059378C" w:rsidRDefault="003A0665" w:rsidP="00561F7C">
      <w:pPr>
        <w:pStyle w:val="b-bodytext"/>
        <w:spacing w:line="480" w:lineRule="auto"/>
      </w:pPr>
      <w:r w:rsidRPr="0059378C">
        <w:t xml:space="preserve">If, despite the potential issues, a client nevertheless wants to use the trust </w:t>
      </w:r>
      <w:proofErr w:type="gramStart"/>
      <w:r w:rsidRPr="0059378C">
        <w:t>as a means to</w:t>
      </w:r>
      <w:proofErr w:type="gramEnd"/>
      <w:r w:rsidRPr="0059378C">
        <w:t xml:space="preserve"> incentivize beneficiaries, consider naming a trust </w:t>
      </w:r>
      <w:r w:rsidR="003506F4">
        <w:t>protector/</w:t>
      </w:r>
      <w:r w:rsidRPr="0059378C">
        <w:t>advisor or trust committee and giving such person or persons the power to override these provisions on a case-by-case basis if strict implementation would inadvertently miscarry the settlor</w:t>
      </w:r>
      <w:r w:rsidR="001A6DCB">
        <w:t>’</w:t>
      </w:r>
      <w:r w:rsidRPr="0059378C">
        <w:t>s intent.</w:t>
      </w:r>
      <w:r w:rsidRPr="0059378C">
        <w:rPr>
          <w:rStyle w:val="FootnoteReference"/>
        </w:rPr>
        <w:footnoteReference w:id="227"/>
      </w:r>
    </w:p>
    <w:p w14:paraId="037203DD" w14:textId="77777777" w:rsidR="003A0665" w:rsidRDefault="003A0665" w:rsidP="00561F7C">
      <w:pPr>
        <w:pStyle w:val="a-4thSubHead"/>
        <w:spacing w:line="480" w:lineRule="auto"/>
      </w:pPr>
      <w:bookmarkStart w:id="84" w:name="_Toc7167206"/>
      <w:bookmarkStart w:id="85" w:name="_Toc31203619"/>
      <w:r w:rsidRPr="0059378C">
        <w:t>b.  Limiting Distributions</w:t>
      </w:r>
      <w:bookmarkEnd w:id="84"/>
      <w:bookmarkEnd w:id="85"/>
    </w:p>
    <w:p w14:paraId="62A4F422" w14:textId="00A63528" w:rsidR="003A0665" w:rsidRPr="0059378C" w:rsidRDefault="003A0665" w:rsidP="00561F7C">
      <w:pPr>
        <w:pStyle w:val="b-bodytext"/>
        <w:spacing w:line="480" w:lineRule="auto"/>
      </w:pPr>
      <w:r w:rsidRPr="0059378C">
        <w:t>On the opposite side of incentivizing provisions, a trust instrument may also limit distributions for beneficiaries who take undesirable actions.</w:t>
      </w:r>
      <w:r w:rsidRPr="0059378C">
        <w:rPr>
          <w:rStyle w:val="FootnoteReference"/>
        </w:rPr>
        <w:footnoteReference w:id="228"/>
      </w:r>
      <w:r w:rsidRPr="0059378C">
        <w:t xml:space="preserve">  For example,</w:t>
      </w:r>
    </w:p>
    <w:p w14:paraId="6D36B968" w14:textId="0351FA94" w:rsidR="003A0665" w:rsidRPr="0059378C" w:rsidRDefault="003A0665" w:rsidP="00561F7C">
      <w:pPr>
        <w:pStyle w:val="b-bodytext"/>
        <w:numPr>
          <w:ilvl w:val="0"/>
          <w:numId w:val="11"/>
        </w:numPr>
        <w:spacing w:line="480" w:lineRule="auto"/>
        <w:ind w:left="720" w:hanging="270"/>
      </w:pPr>
      <w:r w:rsidRPr="0059378C">
        <w:t xml:space="preserve">Denying distributions if the beneficiary does not enter into a marital agreement before or after </w:t>
      </w:r>
      <w:proofErr w:type="gramStart"/>
      <w:r w:rsidRPr="0059378C">
        <w:t>marriage;</w:t>
      </w:r>
      <w:proofErr w:type="gramEnd"/>
    </w:p>
    <w:p w14:paraId="6773AAB0" w14:textId="77777777" w:rsidR="003A0665" w:rsidRPr="0059378C" w:rsidRDefault="003A0665" w:rsidP="00561F7C">
      <w:pPr>
        <w:pStyle w:val="b-bodytext"/>
        <w:numPr>
          <w:ilvl w:val="0"/>
          <w:numId w:val="11"/>
        </w:numPr>
        <w:spacing w:line="480" w:lineRule="auto"/>
        <w:ind w:left="720" w:hanging="270"/>
      </w:pPr>
      <w:r w:rsidRPr="0059378C">
        <w:lastRenderedPageBreak/>
        <w:t>Denying distributions if the beneficiary fails a drug test; and</w:t>
      </w:r>
    </w:p>
    <w:p w14:paraId="5B680EF5" w14:textId="77777777" w:rsidR="003A0665" w:rsidRPr="0059378C" w:rsidRDefault="003A0665" w:rsidP="00561F7C">
      <w:pPr>
        <w:pStyle w:val="b-bodytext"/>
        <w:numPr>
          <w:ilvl w:val="0"/>
          <w:numId w:val="11"/>
        </w:numPr>
        <w:spacing w:line="480" w:lineRule="auto"/>
        <w:ind w:left="720" w:hanging="270"/>
      </w:pPr>
      <w:r w:rsidRPr="0059378C">
        <w:t>Denying distributions to a beneficiary who co-habitats with a partner before marriage.</w:t>
      </w:r>
      <w:r w:rsidRPr="0059378C">
        <w:rPr>
          <w:rStyle w:val="FootnoteReference"/>
          <w:rFonts w:cs="Times New Roman"/>
        </w:rPr>
        <w:footnoteReference w:id="229"/>
      </w:r>
    </w:p>
    <w:p w14:paraId="4212B1DC" w14:textId="6C48102F" w:rsidR="003A0665" w:rsidRPr="0059378C" w:rsidRDefault="003A0665" w:rsidP="00561F7C">
      <w:pPr>
        <w:pStyle w:val="b-bodytext"/>
        <w:spacing w:line="480" w:lineRule="auto"/>
      </w:pPr>
      <w:r w:rsidRPr="0059378C">
        <w:t xml:space="preserve">The rationale for including such limitations is to not only discourage certain </w:t>
      </w:r>
      <w:proofErr w:type="gramStart"/>
      <w:r w:rsidRPr="0059378C">
        <w:t>behaviors, but</w:t>
      </w:r>
      <w:proofErr w:type="gramEnd"/>
      <w:r w:rsidRPr="0059378C">
        <w:t xml:space="preserve"> </w:t>
      </w:r>
      <w:r w:rsidR="003506F4">
        <w:t xml:space="preserve">can </w:t>
      </w:r>
      <w:r w:rsidRPr="0059378C">
        <w:t xml:space="preserve">also </w:t>
      </w:r>
      <w:r w:rsidR="003506F4">
        <w:t xml:space="preserve">be </w:t>
      </w:r>
      <w:r w:rsidRPr="0059378C">
        <w:t>to protect a beneficiary engaged in said behaviors.</w:t>
      </w:r>
      <w:r w:rsidRPr="0059378C">
        <w:rPr>
          <w:rStyle w:val="FootnoteReference"/>
        </w:rPr>
        <w:footnoteReference w:id="230"/>
      </w:r>
      <w:r w:rsidRPr="0059378C">
        <w:t xml:space="preserve"> </w:t>
      </w:r>
      <w:r w:rsidR="000D0268">
        <w:t> </w:t>
      </w:r>
      <w:r w:rsidRPr="0059378C">
        <w:t>Continuing to make distributions to a beneficiary with substance-abuse problems may exacerbate the issue and lead to the beneficiary</w:t>
      </w:r>
      <w:r w:rsidR="001A6DCB">
        <w:t>’</w:t>
      </w:r>
      <w:r w:rsidRPr="0059378C">
        <w:t>s deepened addiction or death.</w:t>
      </w:r>
      <w:r w:rsidRPr="0059378C">
        <w:rPr>
          <w:rStyle w:val="FootnoteReference"/>
        </w:rPr>
        <w:footnoteReference w:id="231"/>
      </w:r>
    </w:p>
    <w:p w14:paraId="623E0B21" w14:textId="21F878BA" w:rsidR="003A0665" w:rsidRDefault="003A0665" w:rsidP="00561F7C">
      <w:pPr>
        <w:pStyle w:val="b-bodytext"/>
        <w:spacing w:line="480" w:lineRule="auto"/>
      </w:pPr>
      <w:r w:rsidRPr="0059378C">
        <w:t>However, discovering such undesirable behaviors and enforcement of the trust terms may be a challenge for the trustee.</w:t>
      </w:r>
      <w:r w:rsidRPr="0059378C">
        <w:rPr>
          <w:rStyle w:val="FootnoteReference"/>
        </w:rPr>
        <w:footnoteReference w:id="232"/>
      </w:r>
      <w:r w:rsidRPr="0059378C">
        <w:t xml:space="preserve">  Does a beneficiary have to provide the trustee with monthly drug tests even if such beneficiary has no drug history?</w:t>
      </w:r>
      <w:r w:rsidRPr="0059378C">
        <w:rPr>
          <w:rStyle w:val="FootnoteReference"/>
        </w:rPr>
        <w:footnoteReference w:id="233"/>
      </w:r>
      <w:r w:rsidRPr="0059378C">
        <w:t xml:space="preserve">  Even if an attorney and a client agree on specific trust terms, </w:t>
      </w:r>
      <w:r w:rsidR="00C105A1">
        <w:t>it is essential</w:t>
      </w:r>
      <w:r w:rsidR="00C105A1" w:rsidRPr="0059378C">
        <w:t xml:space="preserve"> </w:t>
      </w:r>
      <w:r w:rsidR="00C105A1">
        <w:t>to think through the logistics of implementing such terms.  I</w:t>
      </w:r>
      <w:r w:rsidRPr="0059378C">
        <w:t xml:space="preserve">f the terms are </w:t>
      </w:r>
      <w:r w:rsidR="00C105A1">
        <w:t xml:space="preserve">too </w:t>
      </w:r>
      <w:r w:rsidRPr="0059378C">
        <w:t>difficult to administer, they may fail</w:t>
      </w:r>
      <w:r w:rsidR="00C105A1">
        <w:t xml:space="preserve"> (though not before causing considerable headaches for the trustee and beneficiary)</w:t>
      </w:r>
      <w:r w:rsidRPr="0059378C">
        <w:t>.</w:t>
      </w:r>
      <w:r w:rsidRPr="0059378C">
        <w:rPr>
          <w:rStyle w:val="FootnoteReference"/>
        </w:rPr>
        <w:footnoteReference w:id="234"/>
      </w:r>
      <w:r w:rsidRPr="0059378C">
        <w:t xml:space="preserve"> </w:t>
      </w:r>
      <w:r w:rsidR="000D0268">
        <w:t> </w:t>
      </w:r>
      <w:r w:rsidR="00C105A1">
        <w:t xml:space="preserve">If the </w:t>
      </w:r>
      <w:r w:rsidR="00C105A1">
        <w:lastRenderedPageBreak/>
        <w:t>difficulty in administering a trust terms is apparent from the offset</w:t>
      </w:r>
      <w:r w:rsidRPr="0059378C">
        <w:t xml:space="preserve">, </w:t>
      </w:r>
      <w:r w:rsidR="00C105A1">
        <w:t>the designated</w:t>
      </w:r>
      <w:r w:rsidRPr="0059378C">
        <w:t xml:space="preserve"> trustee may </w:t>
      </w:r>
      <w:r w:rsidR="00C105A1">
        <w:t xml:space="preserve">decline its </w:t>
      </w:r>
      <w:proofErr w:type="gramStart"/>
      <w:r w:rsidR="00C105A1">
        <w:t xml:space="preserve">appointment </w:t>
      </w:r>
      <w:r w:rsidRPr="0059378C">
        <w:t xml:space="preserve"> as</w:t>
      </w:r>
      <w:proofErr w:type="gramEnd"/>
      <w:r w:rsidRPr="0059378C">
        <w:t xml:space="preserve"> trustee for such trust.</w:t>
      </w:r>
      <w:r w:rsidRPr="0059378C">
        <w:rPr>
          <w:rStyle w:val="FootnoteReference"/>
        </w:rPr>
        <w:footnoteReference w:id="235"/>
      </w:r>
      <w:bookmarkStart w:id="86" w:name="_Toc7167207"/>
    </w:p>
    <w:p w14:paraId="013DD266" w14:textId="77777777" w:rsidR="003A0665" w:rsidRDefault="003A0665" w:rsidP="00561F7C">
      <w:pPr>
        <w:spacing w:line="480" w:lineRule="auto"/>
      </w:pPr>
    </w:p>
    <w:p w14:paraId="3BBD4BA0" w14:textId="77777777" w:rsidR="003A0665" w:rsidRDefault="003A0665" w:rsidP="00561F7C">
      <w:pPr>
        <w:pStyle w:val="a-2ndSubHd"/>
        <w:spacing w:before="0" w:after="0" w:line="480" w:lineRule="auto"/>
      </w:pPr>
      <w:bookmarkStart w:id="87" w:name="_Toc31203620"/>
      <w:r w:rsidRPr="001618B7">
        <w:t>C.  Accountings</w:t>
      </w:r>
      <w:bookmarkEnd w:id="86"/>
      <w:bookmarkEnd w:id="87"/>
    </w:p>
    <w:p w14:paraId="680B1848" w14:textId="77777777" w:rsidR="003A0665" w:rsidRPr="001618B7" w:rsidRDefault="003A0665" w:rsidP="00561F7C">
      <w:pPr>
        <w:spacing w:line="480" w:lineRule="auto"/>
        <w:jc w:val="center"/>
        <w:rPr>
          <w:iCs/>
        </w:rPr>
      </w:pPr>
    </w:p>
    <w:p w14:paraId="0CAF81B0" w14:textId="0C54FA44" w:rsidR="003A0665" w:rsidRPr="0059378C" w:rsidRDefault="003A0665" w:rsidP="00561F7C">
      <w:pPr>
        <w:pStyle w:val="b-bodytext"/>
        <w:spacing w:line="480" w:lineRule="auto"/>
      </w:pPr>
      <w:r w:rsidRPr="0059378C">
        <w:t>Although a beneficiary has certain rights and a trustee has certain duties regarding trust accountings that cannot be waived, a settlor nevertheless has some degree of control over the frequency and contents of informal accountings.</w:t>
      </w:r>
      <w:r w:rsidRPr="0059378C">
        <w:rPr>
          <w:rStyle w:val="FootnoteReference"/>
        </w:rPr>
        <w:footnoteReference w:id="236"/>
      </w:r>
      <w:r w:rsidRPr="0059378C">
        <w:t xml:space="preserve"> Informal accountings may be the primary means of information dissemination from a trustee, and if handled correctly, such informal accountings will hopefully satisfy beneficiaries so that a statutory accounting may never be demanded.</w:t>
      </w:r>
      <w:r w:rsidRPr="0059378C">
        <w:rPr>
          <w:rStyle w:val="FootnoteReference"/>
        </w:rPr>
        <w:footnoteReference w:id="237"/>
      </w:r>
    </w:p>
    <w:p w14:paraId="440EF642" w14:textId="516CB9FA" w:rsidR="003A0665" w:rsidRPr="0059378C" w:rsidRDefault="003A0665" w:rsidP="00561F7C">
      <w:pPr>
        <w:pStyle w:val="b-bodytext"/>
        <w:spacing w:line="480" w:lineRule="auto"/>
      </w:pPr>
      <w:r w:rsidRPr="0059378C">
        <w:t>A trustee has a fiduciary duty, upon demand, to allow a beneficiary on a reasonable basis to inspect the books and non-privileged records of the trust.</w:t>
      </w:r>
      <w:r w:rsidRPr="0059378C">
        <w:rPr>
          <w:rStyle w:val="FootnoteReference"/>
        </w:rPr>
        <w:footnoteReference w:id="238"/>
      </w:r>
      <w:r w:rsidRPr="0059378C">
        <w:t xml:space="preserve"> </w:t>
      </w:r>
      <w:r w:rsidR="001924B5">
        <w:t> </w:t>
      </w:r>
      <w:r w:rsidRPr="0059378C">
        <w:t xml:space="preserve">That being said, a mandated open-door policy is generally not </w:t>
      </w:r>
      <w:r w:rsidRPr="0059378C">
        <w:lastRenderedPageBreak/>
        <w:t>reasonable.</w:t>
      </w:r>
      <w:r w:rsidRPr="0059378C">
        <w:rPr>
          <w:rStyle w:val="FootnoteReference"/>
        </w:rPr>
        <w:footnoteReference w:id="239"/>
      </w:r>
      <w:r w:rsidRPr="0059378C">
        <w:t xml:space="preserve">  Likewise, the beneficiary</w:t>
      </w:r>
      <w:r w:rsidR="001A6DCB">
        <w:t>’</w:t>
      </w:r>
      <w:r w:rsidRPr="0059378C">
        <w:t>s rights to access information should not be restricted to the whims of the trustee.</w:t>
      </w:r>
      <w:r w:rsidRPr="0059378C">
        <w:rPr>
          <w:rStyle w:val="FootnoteReference"/>
        </w:rPr>
        <w:footnoteReference w:id="240"/>
      </w:r>
    </w:p>
    <w:p w14:paraId="5797D592" w14:textId="4589FAB7" w:rsidR="003A0665" w:rsidRPr="0059378C" w:rsidRDefault="003A0665" w:rsidP="00561F7C">
      <w:pPr>
        <w:pStyle w:val="b-bodytext"/>
        <w:spacing w:line="480" w:lineRule="auto"/>
      </w:pPr>
      <w:r w:rsidRPr="0059378C">
        <w:t>Moreover, a trustee</w:t>
      </w:r>
      <w:r w:rsidR="001A6DCB">
        <w:t>’</w:t>
      </w:r>
      <w:r w:rsidRPr="0059378C">
        <w:t>s general fiduciary duty to keep beneficiaries informed and allow them to inspect the trust books and records differs from the preparation and providing of a trust accounting.</w:t>
      </w:r>
      <w:r w:rsidRPr="0059378C">
        <w:rPr>
          <w:rStyle w:val="FootnoteReference"/>
        </w:rPr>
        <w:footnoteReference w:id="241"/>
      </w:r>
      <w:r w:rsidRPr="0059378C">
        <w:t xml:space="preserve">  This may not be apparent to laypersons serving as trustees and/or trust beneficiaries, so it may be prudent to explicitly address such options in the trust instrument itself.</w:t>
      </w:r>
      <w:r w:rsidRPr="0059378C">
        <w:rPr>
          <w:rStyle w:val="FootnoteReference"/>
        </w:rPr>
        <w:footnoteReference w:id="242"/>
      </w:r>
    </w:p>
    <w:p w14:paraId="76E92D7C" w14:textId="77777777" w:rsidR="003A0665" w:rsidRDefault="003A0665" w:rsidP="00561F7C">
      <w:pPr>
        <w:pStyle w:val="a-3rdSubHd"/>
        <w:spacing w:line="480" w:lineRule="auto"/>
      </w:pPr>
      <w:bookmarkStart w:id="88" w:name="_Toc7167208"/>
      <w:bookmarkStart w:id="89" w:name="_Toc31203621"/>
      <w:r w:rsidRPr="001618B7">
        <w:t>1.  When Are Accounting Required?</w:t>
      </w:r>
      <w:bookmarkEnd w:id="88"/>
      <w:bookmarkEnd w:id="89"/>
    </w:p>
    <w:p w14:paraId="38F2C1EA" w14:textId="77777777" w:rsidR="003A0665" w:rsidRDefault="003A0665" w:rsidP="00561F7C">
      <w:pPr>
        <w:pStyle w:val="a-4thSubHead"/>
        <w:spacing w:line="480" w:lineRule="auto"/>
      </w:pPr>
      <w:bookmarkStart w:id="90" w:name="_Toc31203622"/>
      <w:r w:rsidRPr="0059378C">
        <w:t>a.  Statutory Accountings</w:t>
      </w:r>
      <w:bookmarkEnd w:id="90"/>
    </w:p>
    <w:p w14:paraId="0767B5FF" w14:textId="2D52FD6B" w:rsidR="003A0665" w:rsidRPr="0059378C" w:rsidRDefault="003A0665" w:rsidP="00561F7C">
      <w:pPr>
        <w:pStyle w:val="b-bodytext"/>
        <w:spacing w:line="480" w:lineRule="auto"/>
      </w:pPr>
      <w:r w:rsidRPr="0059378C">
        <w:t>The Texas Trust Code gives a beneficiary the right to demand a written accounting of all of the trust transactions from inception or since the last accounting.</w:t>
      </w:r>
      <w:r w:rsidRPr="0059378C">
        <w:rPr>
          <w:rStyle w:val="FootnoteReference"/>
        </w:rPr>
        <w:footnoteReference w:id="243"/>
      </w:r>
      <w:r w:rsidRPr="0059378C">
        <w:t xml:space="preserve">  Except in unusual circumstances, a trustee is not required to provide an accounting more frequently than once every 12 months.</w:t>
      </w:r>
      <w:r w:rsidRPr="0059378C">
        <w:rPr>
          <w:rStyle w:val="FootnoteReference"/>
        </w:rPr>
        <w:footnoteReference w:id="244"/>
      </w:r>
      <w:r w:rsidRPr="0059378C">
        <w:t xml:space="preserve">  If the trustee fails or refuses to provide an accounting within 90 days</w:t>
      </w:r>
      <w:r w:rsidR="00C105A1">
        <w:t xml:space="preserve"> of demand</w:t>
      </w:r>
      <w:r w:rsidRPr="0059378C">
        <w:t xml:space="preserve">, the beneficiary may file suit to compel the trustee to provide the accounting, </w:t>
      </w:r>
      <w:r w:rsidRPr="0059378C">
        <w:lastRenderedPageBreak/>
        <w:t>and if successful, the court may order the trustee in his individual capacity to pay all of the beneficiary</w:t>
      </w:r>
      <w:r w:rsidR="001A6DCB">
        <w:t>’</w:t>
      </w:r>
      <w:r w:rsidRPr="0059378C">
        <w:t>s attorney</w:t>
      </w:r>
      <w:r w:rsidR="001A6DCB">
        <w:t>’</w:t>
      </w:r>
      <w:r w:rsidRPr="0059378C">
        <w:t>s fees.</w:t>
      </w:r>
      <w:r w:rsidRPr="0059378C">
        <w:rPr>
          <w:rStyle w:val="FootnoteReference"/>
        </w:rPr>
        <w:footnoteReference w:id="245"/>
      </w:r>
    </w:p>
    <w:p w14:paraId="30BDBB86" w14:textId="455EA03D" w:rsidR="003A0665" w:rsidRDefault="003A0665" w:rsidP="00561F7C">
      <w:pPr>
        <w:pStyle w:val="b-bodytext"/>
        <w:spacing w:line="480" w:lineRule="auto"/>
      </w:pPr>
      <w:r w:rsidRPr="0059378C">
        <w:t xml:space="preserve">An </w:t>
      </w:r>
      <w:r w:rsidR="001A6DCB">
        <w:t>“</w:t>
      </w:r>
      <w:r w:rsidRPr="0059378C">
        <w:t>interested person</w:t>
      </w:r>
      <w:r w:rsidR="001A6DCB">
        <w:t>”</w:t>
      </w:r>
      <w:r w:rsidRPr="0059378C">
        <w:t xml:space="preserve"> also may file suit to compel the trustee to provide an accounting.</w:t>
      </w:r>
      <w:r w:rsidRPr="0059378C">
        <w:rPr>
          <w:rStyle w:val="FootnoteReference"/>
        </w:rPr>
        <w:footnoteReference w:id="246"/>
      </w:r>
      <w:r w:rsidRPr="0059378C">
        <w:t xml:space="preserve">  The court will order the trustee to account if it finds that the </w:t>
      </w:r>
      <w:r w:rsidR="001A6DCB">
        <w:t>“</w:t>
      </w:r>
      <w:r w:rsidRPr="0059378C">
        <w:t>nature of the interest in the trust of, the claim against the trust by, or the effect of the administration of the trust on the interested person is sufficient to require an accounting by the trustee.</w:t>
      </w:r>
      <w:r w:rsidR="001A6DCB">
        <w:t>”</w:t>
      </w:r>
      <w:r w:rsidRPr="0059378C">
        <w:rPr>
          <w:rStyle w:val="FootnoteReference"/>
        </w:rPr>
        <w:footnoteReference w:id="247"/>
      </w:r>
    </w:p>
    <w:p w14:paraId="79CFCCE2" w14:textId="77777777" w:rsidR="003A0665" w:rsidRPr="0059378C" w:rsidRDefault="003A0665" w:rsidP="00561F7C">
      <w:pPr>
        <w:spacing w:line="480" w:lineRule="auto"/>
      </w:pPr>
    </w:p>
    <w:p w14:paraId="2EBFD793" w14:textId="5EE007EC" w:rsidR="003A0665" w:rsidRPr="0059378C" w:rsidRDefault="003A0665" w:rsidP="00561F7C">
      <w:pPr>
        <w:pStyle w:val="b-TextBlockQuote"/>
        <w:spacing w:before="0" w:after="0" w:line="480" w:lineRule="auto"/>
      </w:pPr>
      <w:r w:rsidRPr="0059378C">
        <w:t xml:space="preserve">An </w:t>
      </w:r>
      <w:r w:rsidR="001A6DCB">
        <w:t>“</w:t>
      </w:r>
      <w:r w:rsidRPr="0059378C">
        <w:t>interested person</w:t>
      </w:r>
      <w:r w:rsidR="001A6DCB">
        <w:t>”</w:t>
      </w:r>
      <w:r w:rsidRPr="0059378C">
        <w:t xml:space="preserve"> includes a trustee, beneficiary, or any other person having an interest in or claim against the trust or any person who is affected by the administration of the trust. Whether a person, excluding a trustee or named beneficiary, is an interested person may vary from time to time and must be determined according to the </w:t>
      </w:r>
      <w:proofErr w:type="gramStart"/>
      <w:r w:rsidRPr="0059378C">
        <w:t>particular purposes</w:t>
      </w:r>
      <w:proofErr w:type="gramEnd"/>
      <w:r w:rsidRPr="0059378C">
        <w:t xml:space="preserve"> of and matter involved in any proceeding.</w:t>
      </w:r>
      <w:r w:rsidRPr="0059378C">
        <w:rPr>
          <w:rStyle w:val="FootnoteReference"/>
        </w:rPr>
        <w:footnoteReference w:id="248"/>
      </w:r>
    </w:p>
    <w:p w14:paraId="10BDEA30" w14:textId="77777777" w:rsidR="003A0665" w:rsidRDefault="003A0665" w:rsidP="00561F7C">
      <w:pPr>
        <w:pStyle w:val="a-4thSubHead"/>
        <w:spacing w:line="480" w:lineRule="auto"/>
      </w:pPr>
      <w:bookmarkStart w:id="91" w:name="_Toc31203623"/>
      <w:r w:rsidRPr="0059378C">
        <w:t>b.  Non-statutory Accountings</w:t>
      </w:r>
      <w:bookmarkEnd w:id="91"/>
    </w:p>
    <w:p w14:paraId="5631AFE7" w14:textId="5A360EB6" w:rsidR="003A0665" w:rsidRPr="0059378C" w:rsidRDefault="003A0665" w:rsidP="00561F7C">
      <w:pPr>
        <w:pStyle w:val="b-bodytext"/>
        <w:spacing w:line="480" w:lineRule="auto"/>
      </w:pPr>
      <w:r w:rsidRPr="0059378C">
        <w:t xml:space="preserve">Notwithstanding the foregoing, a trustee has no duty to voluntarily make periodic accountings to the beneficiaries under Texas law unless a statutory </w:t>
      </w:r>
      <w:r w:rsidRPr="0059378C">
        <w:lastRenderedPageBreak/>
        <w:t>accounting is demanded or required by the trust instrument.</w:t>
      </w:r>
      <w:r w:rsidRPr="0059378C">
        <w:rPr>
          <w:rStyle w:val="FootnoteReference"/>
        </w:rPr>
        <w:footnoteReference w:id="249"/>
      </w:r>
      <w:r w:rsidRPr="0059378C">
        <w:t xml:space="preserve">  Therefore, if a settlor desires that regular accountings be provided to trust beneficiaries, this should be stated in the trust instrument.</w:t>
      </w:r>
      <w:r w:rsidRPr="0059378C">
        <w:rPr>
          <w:rStyle w:val="FootnoteReference"/>
        </w:rPr>
        <w:footnoteReference w:id="250"/>
      </w:r>
    </w:p>
    <w:p w14:paraId="75416F62" w14:textId="4BAFEB13" w:rsidR="003A0665" w:rsidRPr="0059378C" w:rsidRDefault="003A0665" w:rsidP="00561F7C">
      <w:pPr>
        <w:pStyle w:val="b-bodytext"/>
        <w:spacing w:line="480" w:lineRule="auto"/>
      </w:pPr>
      <w:r w:rsidRPr="0059378C">
        <w:t xml:space="preserve">Likewise, if a settlor does </w:t>
      </w:r>
      <w:r w:rsidRPr="0059378C">
        <w:rPr>
          <w:u w:val="single"/>
        </w:rPr>
        <w:t>not</w:t>
      </w:r>
      <w:r w:rsidRPr="0059378C">
        <w:t xml:space="preserve"> wish to require that a trustee provide regular trust accountings, the trust instrument should state as much.</w:t>
      </w:r>
      <w:r w:rsidRPr="0059378C">
        <w:rPr>
          <w:rStyle w:val="FootnoteReference"/>
        </w:rPr>
        <w:footnoteReference w:id="251"/>
      </w:r>
      <w:r w:rsidRPr="0059378C">
        <w:t xml:space="preserve">  For example, preparing written accounting may be unnecessary for a trust in which the sole beneficiary is also the sole trustee, although the trustee should still maintain thorough and complete books and records.</w:t>
      </w:r>
      <w:r w:rsidRPr="0059378C">
        <w:rPr>
          <w:rStyle w:val="FootnoteReference"/>
        </w:rPr>
        <w:footnoteReference w:id="252"/>
      </w:r>
      <w:r w:rsidRPr="0059378C">
        <w:t xml:space="preserve"> </w:t>
      </w:r>
      <w:r w:rsidR="001924B5">
        <w:t> </w:t>
      </w:r>
      <w:r w:rsidRPr="0059378C">
        <w:t>Moreover, depending on the assets held in the trust, the preparation and provision of a written accounting on a regular basis could become burdensome on individual trustees, particularly those serving without compensation, so accounting requirements could also differ between corporate and individual trustees or trustees serving with or without compensation.</w:t>
      </w:r>
      <w:r w:rsidRPr="0059378C">
        <w:rPr>
          <w:rStyle w:val="FootnoteReference"/>
        </w:rPr>
        <w:footnoteReference w:id="253"/>
      </w:r>
    </w:p>
    <w:p w14:paraId="6A5B05F3" w14:textId="77777777" w:rsidR="003A0665" w:rsidRDefault="003A0665" w:rsidP="00561F7C">
      <w:pPr>
        <w:pStyle w:val="a-3rdSubHd"/>
        <w:spacing w:line="480" w:lineRule="auto"/>
      </w:pPr>
      <w:bookmarkStart w:id="92" w:name="_Toc7167209"/>
      <w:bookmarkStart w:id="93" w:name="_Toc31203624"/>
      <w:r w:rsidRPr="0059378C">
        <w:lastRenderedPageBreak/>
        <w:t xml:space="preserve">2.  </w:t>
      </w:r>
      <w:r w:rsidRPr="001618B7">
        <w:t xml:space="preserve">Information </w:t>
      </w:r>
      <w:proofErr w:type="gramStart"/>
      <w:r w:rsidRPr="001618B7">
        <w:t>In</w:t>
      </w:r>
      <w:proofErr w:type="gramEnd"/>
      <w:r w:rsidRPr="001618B7">
        <w:t xml:space="preserve"> Accounting</w:t>
      </w:r>
      <w:bookmarkEnd w:id="92"/>
      <w:bookmarkEnd w:id="93"/>
    </w:p>
    <w:p w14:paraId="3D9E15E5" w14:textId="77777777" w:rsidR="003A0665" w:rsidRDefault="003A0665" w:rsidP="00561F7C">
      <w:pPr>
        <w:pStyle w:val="a-4thSubHead"/>
        <w:spacing w:line="480" w:lineRule="auto"/>
      </w:pPr>
      <w:bookmarkStart w:id="94" w:name="_Toc31203625"/>
      <w:r w:rsidRPr="0059378C">
        <w:t>a.  Statutory Accountings</w:t>
      </w:r>
      <w:bookmarkEnd w:id="94"/>
    </w:p>
    <w:p w14:paraId="3D322094" w14:textId="205BB92E" w:rsidR="003A0665" w:rsidRPr="0059378C" w:rsidRDefault="003A0665">
      <w:pPr>
        <w:pStyle w:val="b-bodytext"/>
        <w:spacing w:line="480" w:lineRule="auto"/>
      </w:pPr>
      <w:r w:rsidRPr="0059378C">
        <w:t>A statutory trust accounting is an allocation of cash received and cash disbursed between principal and income and a description of all financial transactions affecting the trust.</w:t>
      </w:r>
      <w:r w:rsidRPr="0059378C">
        <w:rPr>
          <w:rStyle w:val="FootnoteReference"/>
        </w:rPr>
        <w:footnoteReference w:id="254"/>
      </w:r>
      <w:r w:rsidRPr="0059378C">
        <w:t xml:space="preserve">  The contents of an accounting are set forth in Trust Code Section 113.152:</w:t>
      </w:r>
    </w:p>
    <w:p w14:paraId="4718A74E" w14:textId="2B003649" w:rsidR="003A0665" w:rsidRPr="0014127B" w:rsidRDefault="003A0665" w:rsidP="0014127B">
      <w:pPr>
        <w:pStyle w:val="b-bodytext"/>
        <w:tabs>
          <w:tab w:val="left" w:pos="900"/>
        </w:tabs>
        <w:spacing w:line="480" w:lineRule="auto"/>
        <w:ind w:right="330"/>
        <w:rPr>
          <w:sz w:val="20"/>
          <w:szCs w:val="20"/>
        </w:rPr>
      </w:pPr>
      <w:r w:rsidRPr="0014127B">
        <w:rPr>
          <w:sz w:val="20"/>
          <w:szCs w:val="20"/>
        </w:rPr>
        <w:t>(1)</w:t>
      </w:r>
      <w:r w:rsidR="00C6093F" w:rsidRPr="0014127B">
        <w:rPr>
          <w:sz w:val="20"/>
          <w:szCs w:val="20"/>
        </w:rPr>
        <w:tab/>
      </w:r>
      <w:r w:rsidRPr="0014127B">
        <w:rPr>
          <w:sz w:val="20"/>
          <w:szCs w:val="20"/>
        </w:rPr>
        <w:t>All trust property that has come to the trustee</w:t>
      </w:r>
      <w:r w:rsidR="001A6DCB" w:rsidRPr="0014127B">
        <w:rPr>
          <w:sz w:val="20"/>
          <w:szCs w:val="20"/>
        </w:rPr>
        <w:t>’</w:t>
      </w:r>
      <w:r w:rsidRPr="0014127B">
        <w:rPr>
          <w:sz w:val="20"/>
          <w:szCs w:val="20"/>
        </w:rPr>
        <w:t xml:space="preserve">s knowledge or into </w:t>
      </w:r>
      <w:r w:rsidR="00C6093F" w:rsidRPr="0014127B">
        <w:rPr>
          <w:sz w:val="20"/>
          <w:szCs w:val="20"/>
        </w:rPr>
        <w:tab/>
      </w:r>
      <w:r w:rsidR="00C6093F" w:rsidRPr="0014127B">
        <w:rPr>
          <w:sz w:val="20"/>
          <w:szCs w:val="20"/>
        </w:rPr>
        <w:tab/>
      </w:r>
      <w:r w:rsidRPr="0014127B">
        <w:rPr>
          <w:sz w:val="20"/>
          <w:szCs w:val="20"/>
        </w:rPr>
        <w:t>the trustee</w:t>
      </w:r>
      <w:r w:rsidR="001A6DCB" w:rsidRPr="0014127B">
        <w:rPr>
          <w:sz w:val="20"/>
          <w:szCs w:val="20"/>
        </w:rPr>
        <w:t>’</w:t>
      </w:r>
      <w:r w:rsidRPr="0014127B">
        <w:rPr>
          <w:sz w:val="20"/>
          <w:szCs w:val="20"/>
        </w:rPr>
        <w:t xml:space="preserve">s possession and that has not been previously listed or </w:t>
      </w:r>
      <w:r w:rsidR="00C6093F" w:rsidRPr="0014127B">
        <w:rPr>
          <w:sz w:val="20"/>
          <w:szCs w:val="20"/>
        </w:rPr>
        <w:tab/>
      </w:r>
      <w:r w:rsidR="00C6093F" w:rsidRPr="0014127B">
        <w:rPr>
          <w:sz w:val="20"/>
          <w:szCs w:val="20"/>
        </w:rPr>
        <w:tab/>
      </w:r>
      <w:r w:rsidRPr="0014127B">
        <w:rPr>
          <w:sz w:val="20"/>
          <w:szCs w:val="20"/>
        </w:rPr>
        <w:t xml:space="preserve">inventoried as property of the </w:t>
      </w:r>
      <w:proofErr w:type="gramStart"/>
      <w:r w:rsidRPr="0014127B">
        <w:rPr>
          <w:sz w:val="20"/>
          <w:szCs w:val="20"/>
        </w:rPr>
        <w:t>trust;</w:t>
      </w:r>
      <w:proofErr w:type="gramEnd"/>
    </w:p>
    <w:p w14:paraId="17D73780" w14:textId="01643CD0" w:rsidR="003A0665" w:rsidRPr="0014127B" w:rsidRDefault="003A0665" w:rsidP="0014127B">
      <w:pPr>
        <w:pStyle w:val="b-bodytext"/>
        <w:tabs>
          <w:tab w:val="left" w:pos="900"/>
        </w:tabs>
        <w:spacing w:line="480" w:lineRule="auto"/>
        <w:ind w:right="330"/>
        <w:rPr>
          <w:sz w:val="20"/>
          <w:szCs w:val="20"/>
        </w:rPr>
      </w:pPr>
      <w:r w:rsidRPr="0014127B">
        <w:rPr>
          <w:sz w:val="20"/>
          <w:szCs w:val="20"/>
        </w:rPr>
        <w:t>(2)</w:t>
      </w:r>
      <w:r w:rsidR="00C6093F" w:rsidRPr="0014127B">
        <w:rPr>
          <w:sz w:val="20"/>
          <w:szCs w:val="20"/>
        </w:rPr>
        <w:tab/>
      </w:r>
      <w:r w:rsidRPr="0014127B">
        <w:rPr>
          <w:sz w:val="20"/>
          <w:szCs w:val="20"/>
        </w:rPr>
        <w:t xml:space="preserve">A complete account of receipts disbursements, and other </w:t>
      </w:r>
      <w:r w:rsidR="00C6093F" w:rsidRPr="0014127B">
        <w:rPr>
          <w:sz w:val="20"/>
          <w:szCs w:val="20"/>
        </w:rPr>
        <w:tab/>
      </w:r>
      <w:r w:rsidR="00C6093F" w:rsidRPr="0014127B">
        <w:rPr>
          <w:sz w:val="20"/>
          <w:szCs w:val="20"/>
        </w:rPr>
        <w:tab/>
      </w:r>
      <w:r w:rsidR="00C6093F" w:rsidRPr="0014127B">
        <w:rPr>
          <w:sz w:val="20"/>
          <w:szCs w:val="20"/>
        </w:rPr>
        <w:tab/>
      </w:r>
      <w:r w:rsidRPr="0014127B">
        <w:rPr>
          <w:sz w:val="20"/>
          <w:szCs w:val="20"/>
        </w:rPr>
        <w:t xml:space="preserve">transactions regarding the trust property for the period covered by </w:t>
      </w:r>
      <w:r w:rsidR="00C6093F" w:rsidRPr="0014127B">
        <w:rPr>
          <w:sz w:val="20"/>
          <w:szCs w:val="20"/>
        </w:rPr>
        <w:tab/>
      </w:r>
      <w:r w:rsidR="00C6093F" w:rsidRPr="0014127B">
        <w:rPr>
          <w:sz w:val="20"/>
          <w:szCs w:val="20"/>
        </w:rPr>
        <w:tab/>
      </w:r>
      <w:r w:rsidRPr="0014127B">
        <w:rPr>
          <w:sz w:val="20"/>
          <w:szCs w:val="20"/>
        </w:rPr>
        <w:t xml:space="preserve">the account, including their source and nature, with receipts of </w:t>
      </w:r>
      <w:r w:rsidR="00C6093F" w:rsidRPr="0014127B">
        <w:rPr>
          <w:sz w:val="20"/>
          <w:szCs w:val="20"/>
        </w:rPr>
        <w:tab/>
      </w:r>
      <w:r w:rsidR="00C6093F" w:rsidRPr="0014127B">
        <w:rPr>
          <w:sz w:val="20"/>
          <w:szCs w:val="20"/>
        </w:rPr>
        <w:tab/>
      </w:r>
      <w:r w:rsidR="00C6093F" w:rsidRPr="0014127B">
        <w:rPr>
          <w:sz w:val="20"/>
          <w:szCs w:val="20"/>
        </w:rPr>
        <w:tab/>
      </w:r>
      <w:r w:rsidRPr="0014127B">
        <w:rPr>
          <w:sz w:val="20"/>
          <w:szCs w:val="20"/>
        </w:rPr>
        <w:t xml:space="preserve">principal and income shown </w:t>
      </w:r>
      <w:proofErr w:type="gramStart"/>
      <w:r w:rsidRPr="0014127B">
        <w:rPr>
          <w:sz w:val="20"/>
          <w:szCs w:val="20"/>
        </w:rPr>
        <w:t>separately;</w:t>
      </w:r>
      <w:proofErr w:type="gramEnd"/>
    </w:p>
    <w:p w14:paraId="3678ED03" w14:textId="1CB3A77A" w:rsidR="003A0665" w:rsidRPr="0014127B" w:rsidRDefault="003A0665" w:rsidP="0014127B">
      <w:pPr>
        <w:pStyle w:val="b-bodytext"/>
        <w:tabs>
          <w:tab w:val="left" w:pos="900"/>
        </w:tabs>
        <w:spacing w:line="480" w:lineRule="auto"/>
        <w:ind w:right="330"/>
        <w:rPr>
          <w:sz w:val="20"/>
          <w:szCs w:val="20"/>
        </w:rPr>
      </w:pPr>
      <w:r w:rsidRPr="0014127B">
        <w:rPr>
          <w:sz w:val="20"/>
          <w:szCs w:val="20"/>
        </w:rPr>
        <w:t>(3)</w:t>
      </w:r>
      <w:r w:rsidR="00C6093F" w:rsidRPr="0014127B">
        <w:rPr>
          <w:sz w:val="20"/>
          <w:szCs w:val="20"/>
        </w:rPr>
        <w:tab/>
      </w:r>
      <w:r w:rsidRPr="0014127B">
        <w:rPr>
          <w:sz w:val="20"/>
          <w:szCs w:val="20"/>
        </w:rPr>
        <w:t xml:space="preserve">A listing of all trust property being administered, with an adequate </w:t>
      </w:r>
      <w:r w:rsidR="00C6093F" w:rsidRPr="0014127B">
        <w:rPr>
          <w:sz w:val="20"/>
          <w:szCs w:val="20"/>
        </w:rPr>
        <w:tab/>
      </w:r>
      <w:r w:rsidR="00C6093F" w:rsidRPr="0014127B">
        <w:rPr>
          <w:sz w:val="20"/>
          <w:szCs w:val="20"/>
        </w:rPr>
        <w:tab/>
      </w:r>
      <w:r w:rsidRPr="0014127B">
        <w:rPr>
          <w:sz w:val="20"/>
          <w:szCs w:val="20"/>
        </w:rPr>
        <w:t xml:space="preserve">description of each </w:t>
      </w:r>
      <w:proofErr w:type="gramStart"/>
      <w:r w:rsidRPr="0014127B">
        <w:rPr>
          <w:sz w:val="20"/>
          <w:szCs w:val="20"/>
        </w:rPr>
        <w:t>asset;</w:t>
      </w:r>
      <w:proofErr w:type="gramEnd"/>
    </w:p>
    <w:p w14:paraId="582958D1" w14:textId="12CC5890" w:rsidR="003A0665" w:rsidRPr="0014127B" w:rsidRDefault="003A0665" w:rsidP="0014127B">
      <w:pPr>
        <w:pStyle w:val="b-bodytext"/>
        <w:tabs>
          <w:tab w:val="left" w:pos="900"/>
        </w:tabs>
        <w:spacing w:line="480" w:lineRule="auto"/>
        <w:ind w:right="330"/>
        <w:rPr>
          <w:sz w:val="20"/>
          <w:szCs w:val="20"/>
        </w:rPr>
      </w:pPr>
      <w:r w:rsidRPr="0014127B">
        <w:rPr>
          <w:sz w:val="20"/>
          <w:szCs w:val="20"/>
        </w:rPr>
        <w:t>(4)</w:t>
      </w:r>
      <w:r w:rsidR="00C6093F" w:rsidRPr="0014127B">
        <w:rPr>
          <w:sz w:val="20"/>
          <w:szCs w:val="20"/>
        </w:rPr>
        <w:tab/>
      </w:r>
      <w:r w:rsidRPr="0014127B">
        <w:rPr>
          <w:sz w:val="20"/>
          <w:szCs w:val="20"/>
        </w:rPr>
        <w:t xml:space="preserve">The cash balance on hand and the name and location of the </w:t>
      </w:r>
      <w:r w:rsidR="00C6093F" w:rsidRPr="0014127B">
        <w:rPr>
          <w:sz w:val="20"/>
          <w:szCs w:val="20"/>
        </w:rPr>
        <w:tab/>
      </w:r>
      <w:r w:rsidR="00C6093F" w:rsidRPr="0014127B">
        <w:rPr>
          <w:sz w:val="20"/>
          <w:szCs w:val="20"/>
        </w:rPr>
        <w:tab/>
      </w:r>
      <w:r w:rsidR="00C6093F" w:rsidRPr="0014127B">
        <w:rPr>
          <w:sz w:val="20"/>
          <w:szCs w:val="20"/>
        </w:rPr>
        <w:tab/>
      </w:r>
      <w:r w:rsidRPr="0014127B">
        <w:rPr>
          <w:sz w:val="20"/>
          <w:szCs w:val="20"/>
        </w:rPr>
        <w:t>depository where the balance is kept; and</w:t>
      </w:r>
    </w:p>
    <w:p w14:paraId="454123C4" w14:textId="448BDE6C" w:rsidR="003A0665" w:rsidRPr="0014127B" w:rsidRDefault="003A0665" w:rsidP="0014127B">
      <w:pPr>
        <w:pStyle w:val="b-bodytext"/>
        <w:tabs>
          <w:tab w:val="left" w:pos="900"/>
        </w:tabs>
        <w:spacing w:line="480" w:lineRule="auto"/>
        <w:ind w:right="330"/>
        <w:rPr>
          <w:sz w:val="20"/>
          <w:szCs w:val="20"/>
        </w:rPr>
      </w:pPr>
      <w:r w:rsidRPr="0014127B">
        <w:rPr>
          <w:sz w:val="20"/>
          <w:szCs w:val="20"/>
        </w:rPr>
        <w:t>(5)</w:t>
      </w:r>
      <w:r w:rsidR="00C6093F" w:rsidRPr="0014127B">
        <w:rPr>
          <w:sz w:val="20"/>
          <w:szCs w:val="20"/>
        </w:rPr>
        <w:tab/>
      </w:r>
      <w:r w:rsidRPr="0014127B">
        <w:rPr>
          <w:sz w:val="20"/>
          <w:szCs w:val="20"/>
        </w:rPr>
        <w:t>all known liabilities owed by the trust.</w:t>
      </w:r>
      <w:r w:rsidRPr="0014127B">
        <w:rPr>
          <w:rStyle w:val="FootnoteReference"/>
          <w:sz w:val="20"/>
          <w:szCs w:val="20"/>
        </w:rPr>
        <w:footnoteReference w:id="255"/>
      </w:r>
    </w:p>
    <w:p w14:paraId="6F05E7DF" w14:textId="40C0DFAD" w:rsidR="003A0665" w:rsidRPr="0059378C" w:rsidRDefault="003A0665" w:rsidP="00561F7C">
      <w:pPr>
        <w:pStyle w:val="b-bodytext"/>
        <w:spacing w:line="480" w:lineRule="auto"/>
      </w:pPr>
      <w:r w:rsidRPr="0059378C">
        <w:t xml:space="preserve">Since a trust accounting is the primary vehicle through which a beneficiary obtains the information necessary to protect his interests and </w:t>
      </w:r>
      <w:r w:rsidRPr="0059378C">
        <w:lastRenderedPageBreak/>
        <w:t>enforce his rights, the accounting should be in understandable form and include all information necessary for the beneficiary to get a complete picture of the trust administration during the time period covered.</w:t>
      </w:r>
      <w:r w:rsidRPr="0059378C">
        <w:rPr>
          <w:rStyle w:val="FootnoteReference"/>
        </w:rPr>
        <w:footnoteReference w:id="256"/>
      </w:r>
      <w:r w:rsidRPr="0059378C">
        <w:t xml:space="preserve">  The detail required in an accounting and the amount of time required to prepare the accounting will depend on the nature of the trust assets and the activity (receipts of income, sales of assets, investments, payment of expenses and distributions to beneficiaries) of the trust.</w:t>
      </w:r>
      <w:r w:rsidRPr="0059378C">
        <w:rPr>
          <w:rStyle w:val="FootnoteReference"/>
        </w:rPr>
        <w:footnoteReference w:id="257"/>
      </w:r>
      <w:r w:rsidRPr="0059378C">
        <w:t xml:space="preserve">  An accounting also may put the beneficiary on notice of the trustee</w:t>
      </w:r>
      <w:r w:rsidR="001A6DCB">
        <w:t>’</w:t>
      </w:r>
      <w:r w:rsidRPr="0059378C">
        <w:t>s acts for purposes of the statute of limitations on claims against the trustee.</w:t>
      </w:r>
      <w:r w:rsidRPr="0059378C">
        <w:rPr>
          <w:rStyle w:val="FootnoteReference"/>
        </w:rPr>
        <w:footnoteReference w:id="258"/>
      </w:r>
      <w:r w:rsidRPr="0059378C">
        <w:t xml:space="preserve">  For most trust-related actions, including a breach of fiduciary duty, the statut</w:t>
      </w:r>
      <w:r w:rsidR="00C6093F">
        <w:t>e of limitations is four years.</w:t>
      </w:r>
      <w:r w:rsidR="00B72F3E">
        <w:rPr>
          <w:rStyle w:val="FootnoteReference"/>
        </w:rPr>
        <w:footnoteReference w:id="259"/>
      </w:r>
    </w:p>
    <w:p w14:paraId="3EF00E81" w14:textId="4AB2D5AB" w:rsidR="003A0665" w:rsidRPr="0059378C" w:rsidRDefault="003A0665" w:rsidP="00561F7C">
      <w:pPr>
        <w:pStyle w:val="b-bodytext"/>
        <w:spacing w:line="480" w:lineRule="auto"/>
      </w:pPr>
      <w:r w:rsidRPr="0059378C">
        <w:t>Based on the trustee</w:t>
      </w:r>
      <w:r w:rsidR="001A6DCB">
        <w:t>’</w:t>
      </w:r>
      <w:r w:rsidRPr="0059378C">
        <w:t>s duty to maintain proper books and records, the trustee</w:t>
      </w:r>
      <w:r w:rsidR="001A6DCB">
        <w:t>’</w:t>
      </w:r>
      <w:r w:rsidRPr="0059378C">
        <w:t>s records should permit the preparation of a trust accounting at a reasonable cost and in a reasonable period of time.</w:t>
      </w:r>
      <w:r w:rsidRPr="0059378C">
        <w:rPr>
          <w:rStyle w:val="FootnoteReference"/>
        </w:rPr>
        <w:footnoteReference w:id="260"/>
      </w:r>
      <w:r w:rsidRPr="0059378C">
        <w:t xml:space="preserve">  If the trustee has not maintained his records in this manner, then he may have committed a breach of the duty to maintain proper books and records.</w:t>
      </w:r>
      <w:r w:rsidRPr="0059378C">
        <w:rPr>
          <w:rStyle w:val="FootnoteReference"/>
        </w:rPr>
        <w:footnoteReference w:id="261"/>
      </w:r>
      <w:r w:rsidRPr="0059378C">
        <w:t xml:space="preserve">  Any portion of the cost </w:t>
      </w:r>
      <w:r w:rsidRPr="0059378C">
        <w:lastRenderedPageBreak/>
        <w:t>of preparation of the accounting that is attributable to the trustee</w:t>
      </w:r>
      <w:r w:rsidR="001A6DCB">
        <w:t>’</w:t>
      </w:r>
      <w:r w:rsidRPr="0059378C">
        <w:t>s inadequate records may be assessed against the trustee individually.</w:t>
      </w:r>
      <w:r w:rsidRPr="0059378C">
        <w:rPr>
          <w:rStyle w:val="FootnoteReference"/>
        </w:rPr>
        <w:footnoteReference w:id="262"/>
      </w:r>
    </w:p>
    <w:p w14:paraId="1A693D96" w14:textId="77777777" w:rsidR="003A0665" w:rsidRDefault="003A0665" w:rsidP="00561F7C">
      <w:pPr>
        <w:pStyle w:val="a-4thSubHead"/>
        <w:spacing w:line="480" w:lineRule="auto"/>
      </w:pPr>
      <w:bookmarkStart w:id="95" w:name="_Toc31203626"/>
      <w:r w:rsidRPr="0059378C">
        <w:t>b.  Non-statutory Accountings</w:t>
      </w:r>
      <w:bookmarkEnd w:id="95"/>
    </w:p>
    <w:p w14:paraId="245F1697" w14:textId="16297F8D" w:rsidR="003A0665" w:rsidRPr="0059378C" w:rsidRDefault="003A0665" w:rsidP="00561F7C">
      <w:pPr>
        <w:pStyle w:val="b-bodytext"/>
        <w:spacing w:line="480" w:lineRule="auto"/>
      </w:pPr>
      <w:r w:rsidRPr="0059378C">
        <w:t>A formal Trust Code accounting may be expensive and the reasonable and necessary cost generally is a proper trust expense.</w:t>
      </w:r>
      <w:r w:rsidRPr="0059378C">
        <w:rPr>
          <w:rStyle w:val="FootnoteReference"/>
        </w:rPr>
        <w:footnoteReference w:id="263"/>
      </w:r>
      <w:r w:rsidRPr="0059378C">
        <w:t xml:space="preserve"> </w:t>
      </w:r>
      <w:r w:rsidR="00C6093F">
        <w:t> </w:t>
      </w:r>
      <w:r w:rsidR="00C105A1">
        <w:t>Therefore, a</w:t>
      </w:r>
      <w:r w:rsidRPr="0059378C">
        <w:t xml:space="preserve"> trustee may consider offering to provide some type of substitute </w:t>
      </w:r>
      <w:r w:rsidR="00C105A1">
        <w:t xml:space="preserve">informal accounting as opposed </w:t>
      </w:r>
      <w:r w:rsidRPr="0059378C">
        <w:t xml:space="preserve">to a </w:t>
      </w:r>
      <w:r w:rsidR="00C105A1">
        <w:t xml:space="preserve">full-blown </w:t>
      </w:r>
      <w:r w:rsidRPr="0059378C">
        <w:t xml:space="preserve">formal </w:t>
      </w:r>
      <w:r w:rsidR="00C105A1">
        <w:t xml:space="preserve">trust </w:t>
      </w:r>
      <w:r w:rsidRPr="0059378C">
        <w:t>accounting.</w:t>
      </w:r>
      <w:r w:rsidRPr="0059378C">
        <w:rPr>
          <w:rStyle w:val="FootnoteReference"/>
        </w:rPr>
        <w:footnoteReference w:id="264"/>
      </w:r>
      <w:r w:rsidRPr="0059378C">
        <w:t xml:space="preserve">  The beneficiary is not obligated to accept anything less than a full and complete accounting, meet</w:t>
      </w:r>
      <w:r w:rsidR="00C105A1">
        <w:t>ing</w:t>
      </w:r>
      <w:r w:rsidRPr="0059378C">
        <w:t xml:space="preserve"> all of the requirements of the Trust Code</w:t>
      </w:r>
      <w:r w:rsidR="00C105A1">
        <w:t>,</w:t>
      </w:r>
      <w:r w:rsidRPr="0059378C">
        <w:rPr>
          <w:rStyle w:val="FootnoteReference"/>
        </w:rPr>
        <w:footnoteReference w:id="265"/>
      </w:r>
      <w:r w:rsidRPr="0059378C">
        <w:t xml:space="preserve">  </w:t>
      </w:r>
      <w:proofErr w:type="spellStart"/>
      <w:r w:rsidR="00C105A1">
        <w:t>h</w:t>
      </w:r>
      <w:r w:rsidRPr="0059378C">
        <w:t>oweverthere</w:t>
      </w:r>
      <w:proofErr w:type="spellEnd"/>
      <w:r w:rsidRPr="0059378C">
        <w:t xml:space="preserve"> may be circumstances in which a beneficiary would agree to accept an alternative, less costly method of obtaining the desired information, at least as a preliminary step.</w:t>
      </w:r>
      <w:r w:rsidRPr="0059378C">
        <w:rPr>
          <w:rStyle w:val="FootnoteReference"/>
        </w:rPr>
        <w:footnoteReference w:id="266"/>
      </w:r>
      <w:r w:rsidRPr="0059378C">
        <w:t xml:space="preserve">  This approach may be particularly useful for a trust that has been in existence for many years and for which no accounting has </w:t>
      </w:r>
      <w:r w:rsidR="00C105A1">
        <w:t xml:space="preserve">previously </w:t>
      </w:r>
      <w:r w:rsidRPr="0059378C">
        <w:t xml:space="preserve"> been provided.</w:t>
      </w:r>
      <w:r w:rsidRPr="0059378C">
        <w:rPr>
          <w:rStyle w:val="FootnoteReference"/>
        </w:rPr>
        <w:footnoteReference w:id="267"/>
      </w:r>
    </w:p>
    <w:p w14:paraId="6EF26FDA" w14:textId="4A066531" w:rsidR="003A0665" w:rsidRDefault="003A0665" w:rsidP="00561F7C">
      <w:pPr>
        <w:pStyle w:val="b-bodytext"/>
        <w:spacing w:line="480" w:lineRule="auto"/>
      </w:pPr>
      <w:r w:rsidRPr="0059378C">
        <w:lastRenderedPageBreak/>
        <w:t>A non-statutory accounting should still include much of the same information, but may also consist of copies of financial statements or</w:t>
      </w:r>
      <w:r w:rsidR="00C6093F">
        <w:t xml:space="preserve"> </w:t>
      </w:r>
      <w:r w:rsidRPr="0059378C">
        <w:t>tax returns rather than a single document summarizing all of the information.</w:t>
      </w:r>
      <w:r w:rsidRPr="0059378C">
        <w:rPr>
          <w:rStyle w:val="FootnoteReference"/>
        </w:rPr>
        <w:footnoteReference w:id="268"/>
      </w:r>
    </w:p>
    <w:p w14:paraId="27A9EB89" w14:textId="77777777" w:rsidR="003A0665" w:rsidRDefault="003A0665" w:rsidP="00561F7C">
      <w:pPr>
        <w:pStyle w:val="a-1stSubHd"/>
        <w:spacing w:line="480" w:lineRule="auto"/>
      </w:pPr>
      <w:bookmarkStart w:id="96" w:name="_Toc7167210"/>
      <w:bookmarkStart w:id="97" w:name="_Toc31203627"/>
      <w:r w:rsidRPr="0059378C">
        <w:t>III.  Administering the Trust</w:t>
      </w:r>
      <w:bookmarkEnd w:id="96"/>
      <w:bookmarkEnd w:id="97"/>
    </w:p>
    <w:p w14:paraId="4E16BECA" w14:textId="77777777" w:rsidR="00C6093F" w:rsidRDefault="003A0665" w:rsidP="00561F7C">
      <w:pPr>
        <w:pStyle w:val="b-bodytext"/>
        <w:spacing w:line="480" w:lineRule="auto"/>
      </w:pPr>
      <w:r w:rsidRPr="0059378C">
        <w:t>Hand in hand with drafting a trust instrument is the understanding of how it will be administered.</w:t>
      </w:r>
      <w:r w:rsidRPr="0059378C">
        <w:rPr>
          <w:rStyle w:val="FootnoteReference"/>
        </w:rPr>
        <w:footnoteReference w:id="269"/>
      </w:r>
    </w:p>
    <w:p w14:paraId="09D85713" w14:textId="77777777" w:rsidR="00C6093F" w:rsidRDefault="00C6093F" w:rsidP="00561F7C">
      <w:pPr>
        <w:pStyle w:val="b-bodytext"/>
        <w:spacing w:line="480" w:lineRule="auto"/>
      </w:pPr>
    </w:p>
    <w:p w14:paraId="547ADF67" w14:textId="7968D4FD" w:rsidR="003A0665" w:rsidRPr="00C6093F" w:rsidRDefault="00C6093F" w:rsidP="00561F7C">
      <w:pPr>
        <w:pStyle w:val="a-2ndSubHd"/>
        <w:spacing w:before="0" w:after="0" w:line="480" w:lineRule="auto"/>
        <w:rPr>
          <w:rStyle w:val="Heading2Char"/>
          <w:rFonts w:ascii="Times New Roman" w:hAnsi="Times New Roman"/>
          <w:b w:val="0"/>
          <w:iCs w:val="0"/>
        </w:rPr>
      </w:pPr>
      <w:bookmarkStart w:id="98" w:name="_Toc31203628"/>
      <w:r>
        <w:t>A.  Communicate, Communicate, Communicate</w:t>
      </w:r>
      <w:bookmarkEnd w:id="98"/>
      <w:r w:rsidRPr="00C6093F">
        <w:rPr>
          <w:rStyle w:val="Heading2Char"/>
          <w:rFonts w:ascii="Times New Roman" w:hAnsi="Times New Roman"/>
          <w:b w:val="0"/>
          <w:iCs w:val="0"/>
        </w:rPr>
        <w:t xml:space="preserve"> </w:t>
      </w:r>
    </w:p>
    <w:p w14:paraId="08D94D16" w14:textId="77777777" w:rsidR="003A0665" w:rsidRPr="001618B7" w:rsidRDefault="003A0665" w:rsidP="00561F7C">
      <w:pPr>
        <w:spacing w:line="480" w:lineRule="auto"/>
      </w:pPr>
    </w:p>
    <w:p w14:paraId="136EFE9D" w14:textId="510EF8D2" w:rsidR="003A0665" w:rsidRDefault="003A0665" w:rsidP="00561F7C">
      <w:pPr>
        <w:pStyle w:val="b-bodytext"/>
        <w:spacing w:line="480" w:lineRule="auto"/>
      </w:pPr>
      <w:r w:rsidRPr="0059378C">
        <w:t>Apart from the accounting discussed above, a trustee has a duty (</w:t>
      </w:r>
      <w:r w:rsidR="00C105A1">
        <w:t xml:space="preserve">not to mention that </w:t>
      </w:r>
      <w:r w:rsidRPr="0059378C">
        <w:t>it is simply common sense) to communicate with beneficiaries about individual circumstances and the general administration of the trust.</w:t>
      </w:r>
      <w:r w:rsidRPr="0059378C">
        <w:rPr>
          <w:rStyle w:val="FootnoteReference"/>
        </w:rPr>
        <w:footnoteReference w:id="270"/>
      </w:r>
    </w:p>
    <w:p w14:paraId="62CF8692" w14:textId="77777777" w:rsidR="003A0665" w:rsidRPr="0059378C" w:rsidRDefault="003A0665" w:rsidP="00561F7C">
      <w:pPr>
        <w:spacing w:line="480" w:lineRule="auto"/>
      </w:pPr>
    </w:p>
    <w:p w14:paraId="4E6A6CEC" w14:textId="77777777" w:rsidR="003A0665" w:rsidRDefault="003A0665" w:rsidP="00561F7C">
      <w:pPr>
        <w:pStyle w:val="a-3rdSubHd"/>
        <w:spacing w:before="0" w:after="0" w:line="480" w:lineRule="auto"/>
      </w:pPr>
      <w:bookmarkStart w:id="99" w:name="_Toc7167212"/>
      <w:bookmarkStart w:id="100" w:name="_Toc31203629"/>
      <w:r w:rsidRPr="001618B7">
        <w:t>1.  Duty of Disclosure</w:t>
      </w:r>
      <w:bookmarkEnd w:id="99"/>
      <w:bookmarkEnd w:id="100"/>
    </w:p>
    <w:p w14:paraId="63E18A6D" w14:textId="77777777" w:rsidR="003A0665" w:rsidRPr="001618B7" w:rsidRDefault="003A0665" w:rsidP="00561F7C">
      <w:pPr>
        <w:spacing w:line="480" w:lineRule="auto"/>
      </w:pPr>
    </w:p>
    <w:p w14:paraId="5E8858A1" w14:textId="428D4E22" w:rsidR="003A0665" w:rsidRPr="0059378C" w:rsidRDefault="003A0665" w:rsidP="00561F7C">
      <w:pPr>
        <w:pStyle w:val="b-bodytext"/>
        <w:spacing w:line="480" w:lineRule="auto"/>
      </w:pPr>
      <w:r w:rsidRPr="0059378C">
        <w:lastRenderedPageBreak/>
        <w:t>The duty of disclosure is fundamental to the trustee relationship.</w:t>
      </w:r>
      <w:r w:rsidRPr="0059378C">
        <w:rPr>
          <w:rStyle w:val="FootnoteReference"/>
        </w:rPr>
        <w:footnoteReference w:id="271"/>
      </w:r>
      <w:r w:rsidRPr="0059378C">
        <w:t xml:space="preserve">  A trustee has much more than the traditional obligation not to make any material misrepresentations; he has an affirmative duty to make a full and accurate confession of all of his fiduciary activities, transactions, profits, and mistakes even when, and especially if, it hurts.</w:t>
      </w:r>
      <w:r w:rsidRPr="0059378C">
        <w:rPr>
          <w:rStyle w:val="FootnoteReference"/>
        </w:rPr>
        <w:footnoteReference w:id="272"/>
      </w:r>
    </w:p>
    <w:p w14:paraId="2FBCFAF2" w14:textId="5AFD9D23" w:rsidR="003A0665" w:rsidRPr="0059378C" w:rsidRDefault="003A0665" w:rsidP="00561F7C">
      <w:pPr>
        <w:pStyle w:val="b-bodytext"/>
        <w:spacing w:line="480" w:lineRule="auto"/>
      </w:pPr>
      <w:r w:rsidRPr="0059378C">
        <w:t>Moreover, the breach of the duty of full disclosure by a trustee has been argued to be tantamount to fraudulent concealment.</w:t>
      </w:r>
      <w:r w:rsidRPr="0059378C">
        <w:rPr>
          <w:rStyle w:val="FootnoteReference"/>
        </w:rPr>
        <w:footnoteReference w:id="273"/>
      </w:r>
      <w:r w:rsidRPr="0059378C">
        <w:t xml:space="preserve">  The beneficiary is not required to prove the elements of fraud and need not even prove that he </w:t>
      </w:r>
      <w:r w:rsidR="001A6DCB">
        <w:t>“</w:t>
      </w:r>
      <w:r w:rsidRPr="0059378C">
        <w:t>relied</w:t>
      </w:r>
      <w:r w:rsidR="001A6DCB">
        <w:t>”</w:t>
      </w:r>
      <w:r w:rsidRPr="0059378C">
        <w:t xml:space="preserve"> on the fiduciary to disclose the information.</w:t>
      </w:r>
      <w:r w:rsidRPr="0059378C">
        <w:rPr>
          <w:rStyle w:val="FootnoteReference"/>
        </w:rPr>
        <w:footnoteReference w:id="274"/>
      </w:r>
    </w:p>
    <w:p w14:paraId="7FF3E350" w14:textId="5CA8FF69" w:rsidR="003A0665" w:rsidRPr="0059378C" w:rsidRDefault="003A0665" w:rsidP="00561F7C">
      <w:pPr>
        <w:pStyle w:val="b-bodytext"/>
        <w:spacing w:line="480" w:lineRule="auto"/>
      </w:pPr>
      <w:r w:rsidRPr="0059378C">
        <w:t>However, there is an open question as to the extent that a fiduciary must make affirmative disclosures of information to beneficiaries.</w:t>
      </w:r>
      <w:r w:rsidRPr="0059378C">
        <w:rPr>
          <w:rStyle w:val="FootnoteReference"/>
        </w:rPr>
        <w:footnoteReference w:id="275"/>
      </w:r>
      <w:r w:rsidRPr="0059378C">
        <w:t xml:space="preserve">  Texas case law suggests that an affirmative duty to disclose exists but only under limited circumstances, most often when the disclosure relates to the fiduciary</w:t>
      </w:r>
      <w:r w:rsidR="001A6DCB">
        <w:t>’</w:t>
      </w:r>
      <w:r w:rsidRPr="0059378C">
        <w:t>s self</w:t>
      </w:r>
      <w:r w:rsidR="00C6093F">
        <w:noBreakHyphen/>
      </w:r>
      <w:r w:rsidRPr="0059378C">
        <w:t>dealing or information that significantly impacts a beneficiary</w:t>
      </w:r>
      <w:r w:rsidR="001A6DCB">
        <w:t>’</w:t>
      </w:r>
      <w:r w:rsidRPr="0059378C">
        <w:t>s interests.</w:t>
      </w:r>
      <w:r w:rsidRPr="0059378C">
        <w:rPr>
          <w:rStyle w:val="FootnoteReference"/>
        </w:rPr>
        <w:footnoteReference w:id="276"/>
      </w:r>
    </w:p>
    <w:p w14:paraId="4A646641" w14:textId="4AE0A988" w:rsidR="003A0665" w:rsidRPr="0059378C" w:rsidRDefault="003A0665" w:rsidP="00561F7C">
      <w:pPr>
        <w:pStyle w:val="b-bodytext"/>
        <w:spacing w:line="480" w:lineRule="auto"/>
      </w:pPr>
      <w:r w:rsidRPr="0059378C">
        <w:lastRenderedPageBreak/>
        <w:t xml:space="preserve">For example, the court in </w:t>
      </w:r>
      <w:proofErr w:type="spellStart"/>
      <w:r w:rsidRPr="0059378C">
        <w:rPr>
          <w:i/>
        </w:rPr>
        <w:t>InterFirst</w:t>
      </w:r>
      <w:proofErr w:type="spellEnd"/>
      <w:r w:rsidRPr="0059378C">
        <w:rPr>
          <w:i/>
        </w:rPr>
        <w:t xml:space="preserve"> Bank Dallas, N.A. v. Risser</w:t>
      </w:r>
      <w:r w:rsidRPr="0059378C">
        <w:t>, held that the trustee violated its common law duty of full disclosure by failing to notify the beneficiaries of the sale of a major trust asset.</w:t>
      </w:r>
      <w:r w:rsidRPr="0059378C">
        <w:rPr>
          <w:rStyle w:val="FootnoteReference"/>
        </w:rPr>
        <w:footnoteReference w:id="277"/>
      </w:r>
      <w:r w:rsidRPr="0059378C">
        <w:t xml:space="preserve">  While Texas law does not require the consent of beneficiaries before selling trust assets, the fact that the property is in a trust does not require that the beneficiaries are to be kept in ignorance of the administration of the trust.</w:t>
      </w:r>
      <w:r w:rsidRPr="0059378C">
        <w:rPr>
          <w:rStyle w:val="FootnoteReference"/>
        </w:rPr>
        <w:footnoteReference w:id="278"/>
      </w:r>
    </w:p>
    <w:p w14:paraId="08B39E90" w14:textId="4E822B5E" w:rsidR="003A0665" w:rsidRPr="0059378C" w:rsidRDefault="003A0665" w:rsidP="00561F7C">
      <w:pPr>
        <w:pStyle w:val="b-bodytext"/>
        <w:spacing w:line="480" w:lineRule="auto"/>
      </w:pPr>
      <w:r w:rsidRPr="0059378C">
        <w:t>Omissions or misstatements in accountings have also been argued to violate the common law duty of disclosure</w:t>
      </w:r>
      <w:r w:rsidR="00B72F3E">
        <w:t>.</w:t>
      </w:r>
      <w:r w:rsidR="00960C66">
        <w:rPr>
          <w:rStyle w:val="FootnoteReference"/>
        </w:rPr>
        <w:footnoteReference w:id="279"/>
      </w:r>
      <w:r w:rsidRPr="0059378C">
        <w:t xml:space="preserve">  Even accountings which have been previously filed and approved by the court may be reexamined upon a final accounting.</w:t>
      </w:r>
      <w:r w:rsidRPr="0059378C">
        <w:rPr>
          <w:rStyle w:val="FootnoteReference"/>
        </w:rPr>
        <w:footnoteReference w:id="280"/>
      </w:r>
      <w:r w:rsidRPr="0059378C">
        <w:t xml:space="preserve">  A trustee can be held liable if he knowingly discloses false information or knowingly fails to disclose harmful information regarding his dealings with trust or estate assets.</w:t>
      </w:r>
      <w:r w:rsidRPr="0059378C">
        <w:rPr>
          <w:rStyle w:val="FootnoteReference"/>
        </w:rPr>
        <w:footnoteReference w:id="281"/>
      </w:r>
    </w:p>
    <w:p w14:paraId="6DD6B0B5" w14:textId="5CA24E33" w:rsidR="003A0665" w:rsidRPr="0059378C" w:rsidRDefault="003A0665" w:rsidP="00561F7C">
      <w:pPr>
        <w:pStyle w:val="b-bodytext"/>
        <w:spacing w:line="480" w:lineRule="auto"/>
      </w:pPr>
      <w:r w:rsidRPr="0059378C">
        <w:t>The trustee</w:t>
      </w:r>
      <w:r w:rsidR="001A6DCB">
        <w:t>’</w:t>
      </w:r>
      <w:r w:rsidRPr="0059378C">
        <w:t>s  to disclose material facts is not altered by the existence of litigation between the beneficiaries and the trustee.</w:t>
      </w:r>
      <w:r w:rsidRPr="0059378C">
        <w:rPr>
          <w:rStyle w:val="FootnoteReference"/>
        </w:rPr>
        <w:footnoteReference w:id="282"/>
      </w:r>
      <w:r w:rsidRPr="0059378C">
        <w:t xml:space="preserve">  This duty operates before and after litigation has been filed and is in addition to any obligations </w:t>
      </w:r>
      <w:r w:rsidRPr="0059378C">
        <w:lastRenderedPageBreak/>
        <w:t xml:space="preserve">of disclosure imposed by the </w:t>
      </w:r>
      <w:r w:rsidR="001A6DCB">
        <w:t>“</w:t>
      </w:r>
      <w:r w:rsidRPr="0059378C">
        <w:t>discovery provisions of the Texas Rules of Civil Procedure.</w:t>
      </w:r>
      <w:r w:rsidR="001A6DCB">
        <w:t>”</w:t>
      </w:r>
      <w:r w:rsidRPr="0059378C">
        <w:rPr>
          <w:rStyle w:val="FootnoteReference"/>
        </w:rPr>
        <w:footnoteReference w:id="283"/>
      </w:r>
    </w:p>
    <w:p w14:paraId="60460B02" w14:textId="77777777" w:rsidR="003A0665" w:rsidRDefault="003A0665" w:rsidP="00561F7C">
      <w:pPr>
        <w:pStyle w:val="a-3rdSubHd"/>
        <w:spacing w:line="480" w:lineRule="auto"/>
      </w:pPr>
      <w:bookmarkStart w:id="101" w:name="_Toc7167213"/>
      <w:bookmarkStart w:id="102" w:name="_Toc31203630"/>
      <w:r w:rsidRPr="001618B7">
        <w:t>2.  Common Sense Communications</w:t>
      </w:r>
      <w:bookmarkEnd w:id="101"/>
      <w:bookmarkEnd w:id="102"/>
    </w:p>
    <w:p w14:paraId="69458852" w14:textId="72C6A550" w:rsidR="003A0665" w:rsidRPr="0059378C" w:rsidRDefault="003A0665" w:rsidP="00561F7C">
      <w:pPr>
        <w:pStyle w:val="b-bodytext"/>
        <w:spacing w:line="480" w:lineRule="auto"/>
      </w:pPr>
      <w:r w:rsidRPr="0059378C">
        <w:t>Putting aside the question of whether a trustee must convey certain information to fulfill its fiduciary duty, a trustee should regularly communicate with trust beneficiaries to correctly and efficiently administer the trust.</w:t>
      </w:r>
      <w:r w:rsidRPr="0059378C">
        <w:rPr>
          <w:rStyle w:val="FootnoteReference"/>
        </w:rPr>
        <w:footnoteReference w:id="284"/>
      </w:r>
      <w:r w:rsidRPr="0059378C">
        <w:t xml:space="preserve"> </w:t>
      </w:r>
      <w:r w:rsidR="00C6093F">
        <w:t xml:space="preserve"> </w:t>
      </w:r>
      <w:r w:rsidRPr="0059378C">
        <w:t>A trustee</w:t>
      </w:r>
      <w:r w:rsidR="001A6DCB">
        <w:t>’</w:t>
      </w:r>
      <w:r w:rsidRPr="0059378C">
        <w:t xml:space="preserve">s role is to act in the best interests of the beneficiaries, and it is </w:t>
      </w:r>
      <w:r w:rsidR="009873A8">
        <w:t>challenging</w:t>
      </w:r>
      <w:r w:rsidRPr="0059378C">
        <w:t xml:space="preserve"> to do so without regular dialogue.</w:t>
      </w:r>
      <w:r w:rsidRPr="0059378C">
        <w:rPr>
          <w:rStyle w:val="FootnoteReference"/>
        </w:rPr>
        <w:footnoteReference w:id="285"/>
      </w:r>
      <w:r w:rsidRPr="0059378C">
        <w:t xml:space="preserve">  Likewise, it is difficult to understand how a trustee could make discretionary distribution decisions, monitor potential concerns about capacity, substance abuse, etc. and other trust administration matters without some form of regular, ongoing contact with beneficiaries.</w:t>
      </w:r>
      <w:r w:rsidRPr="0059378C">
        <w:rPr>
          <w:rStyle w:val="FootnoteReference"/>
        </w:rPr>
        <w:footnoteReference w:id="286"/>
      </w:r>
    </w:p>
    <w:p w14:paraId="2B8BAFE5" w14:textId="49C0EB0B" w:rsidR="003A0665" w:rsidRPr="0059378C" w:rsidRDefault="003A0665" w:rsidP="00561F7C">
      <w:pPr>
        <w:pStyle w:val="b-bodytext"/>
        <w:spacing w:line="480" w:lineRule="auto"/>
      </w:pPr>
      <w:r w:rsidRPr="0059378C">
        <w:t>If a significant matter is at issue, a prudent course of action would be to</w:t>
      </w:r>
      <w:r w:rsidR="009873A8">
        <w:t xml:space="preserve"> promptly</w:t>
      </w:r>
      <w:r w:rsidRPr="0059378C">
        <w:t xml:space="preserve"> communicate with the beneficiaries</w:t>
      </w:r>
      <w:r w:rsidR="009873A8">
        <w:t xml:space="preserve"> and to state</w:t>
      </w:r>
      <w:r w:rsidRPr="0059378C">
        <w:t xml:space="preserve"> all relevant facts, in writing, so that a decision can be made in a timely matter.</w:t>
      </w:r>
      <w:r w:rsidRPr="0059378C">
        <w:rPr>
          <w:rStyle w:val="FootnoteReference"/>
        </w:rPr>
        <w:footnoteReference w:id="287"/>
      </w:r>
    </w:p>
    <w:p w14:paraId="28E7B291" w14:textId="48355F36" w:rsidR="003A0665" w:rsidRPr="0059378C" w:rsidRDefault="003A0665" w:rsidP="00561F7C">
      <w:pPr>
        <w:pStyle w:val="b-bodytext"/>
        <w:spacing w:line="480" w:lineRule="auto"/>
      </w:pPr>
      <w:r w:rsidRPr="0059378C">
        <w:lastRenderedPageBreak/>
        <w:t>If a settlor requests that disclosures about the trust be limited, it is important to carefully review the relevant state mandatory statutes to determine the age at which a beneficiary is entitled to information, which beneficiaries are included, and what must be disclosed.</w:t>
      </w:r>
      <w:r w:rsidRPr="0059378C">
        <w:rPr>
          <w:rStyle w:val="FootnoteReference"/>
        </w:rPr>
        <w:footnoteReference w:id="288"/>
      </w:r>
      <w:r w:rsidRPr="0059378C">
        <w:t xml:space="preserve"> </w:t>
      </w:r>
      <w:r w:rsidR="00C6093F">
        <w:t> </w:t>
      </w:r>
      <w:r w:rsidRPr="0059378C">
        <w:t>Although some states allow trustees to administer a trust in secrecy, Texas is not one of them.</w:t>
      </w:r>
      <w:r w:rsidRPr="0059378C">
        <w:rPr>
          <w:rStyle w:val="FootnoteReference"/>
        </w:rPr>
        <w:footnoteReference w:id="289"/>
      </w:r>
    </w:p>
    <w:p w14:paraId="5BBA3E5D" w14:textId="0905DDF1" w:rsidR="003A0665" w:rsidRDefault="003A0665" w:rsidP="00561F7C">
      <w:pPr>
        <w:pStyle w:val="b-bodytext"/>
        <w:spacing w:line="480" w:lineRule="auto"/>
      </w:pPr>
      <w:r w:rsidRPr="0059378C">
        <w:t xml:space="preserve">Texas </w:t>
      </w:r>
      <w:r w:rsidR="00CA09A1">
        <w:t>Trust</w:t>
      </w:r>
      <w:r w:rsidR="00CA09A1" w:rsidRPr="0059378C">
        <w:t xml:space="preserve"> </w:t>
      </w:r>
      <w:r w:rsidRPr="0059378C">
        <w:t>Code Section 111.0035(c) provides:</w:t>
      </w:r>
    </w:p>
    <w:p w14:paraId="51DAF3C6" w14:textId="1C3C63F0" w:rsidR="003A0665" w:rsidRPr="0059378C" w:rsidRDefault="001A6DCB" w:rsidP="00561F7C">
      <w:pPr>
        <w:pStyle w:val="b-TextBlockQuote"/>
        <w:spacing w:line="480" w:lineRule="auto"/>
      </w:pPr>
      <w:r>
        <w:t>“</w:t>
      </w:r>
      <w:r w:rsidR="003A0665" w:rsidRPr="0059378C">
        <w:t>The terms of a trust may not limit any common‐law duty to keep a beneficiary of an irrevocable trust who is twenty‐five (25) years of age or older informed at any time during which the beneficiary: (1) is entitled or permitted to receive distributions from the trust; or (2) would receive a distribution from the trust if terminated.</w:t>
      </w:r>
      <w:r>
        <w:t>”</w:t>
      </w:r>
      <w:r w:rsidR="003A0665" w:rsidRPr="0059378C">
        <w:rPr>
          <w:rStyle w:val="FootnoteReference"/>
        </w:rPr>
        <w:footnoteReference w:id="290"/>
      </w:r>
    </w:p>
    <w:p w14:paraId="7F9C3F64" w14:textId="0A7DCEA2" w:rsidR="003A0665" w:rsidRPr="0059378C" w:rsidRDefault="003A0665" w:rsidP="00561F7C">
      <w:pPr>
        <w:pStyle w:val="b-bodytext"/>
        <w:spacing w:line="480" w:lineRule="auto"/>
      </w:pPr>
      <w:r w:rsidRPr="0059378C">
        <w:t xml:space="preserve">This language leaves some room for interpretation regarding what is necessary to keep a beneficiary </w:t>
      </w:r>
      <w:r w:rsidR="001A6DCB">
        <w:t>“</w:t>
      </w:r>
      <w:r w:rsidRPr="0059378C">
        <w:t>informed</w:t>
      </w:r>
      <w:r w:rsidR="001A6DCB">
        <w:t>”</w:t>
      </w:r>
      <w:r w:rsidRPr="0059378C">
        <w:t xml:space="preserve"> and clearly precludes a settlor from mandating non‐disclosure for a beneficiary </w:t>
      </w:r>
      <w:r w:rsidR="009873A8">
        <w:t xml:space="preserve">age </w:t>
      </w:r>
      <w:r w:rsidRPr="0059378C">
        <w:t>twenty‐five or older.</w:t>
      </w:r>
      <w:r w:rsidRPr="0059378C">
        <w:rPr>
          <w:rStyle w:val="FootnoteReference"/>
        </w:rPr>
        <w:footnoteReference w:id="291"/>
      </w:r>
    </w:p>
    <w:p w14:paraId="2838E2D4" w14:textId="77777777" w:rsidR="003A0665" w:rsidRDefault="003A0665" w:rsidP="00561F7C">
      <w:pPr>
        <w:pStyle w:val="a-2ndSubHd"/>
        <w:spacing w:line="480" w:lineRule="auto"/>
        <w:rPr>
          <w:iCs/>
        </w:rPr>
      </w:pPr>
      <w:bookmarkStart w:id="103" w:name="_Toc7167214"/>
      <w:bookmarkStart w:id="104" w:name="_Toc31203631"/>
      <w:r w:rsidRPr="001618B7">
        <w:lastRenderedPageBreak/>
        <w:t>B.  To Whom to Make the Distributions</w:t>
      </w:r>
      <w:bookmarkEnd w:id="103"/>
      <w:bookmarkEnd w:id="104"/>
    </w:p>
    <w:p w14:paraId="2A680C12" w14:textId="068C8295" w:rsidR="003A0665" w:rsidRPr="0059378C" w:rsidRDefault="003A0665" w:rsidP="00561F7C">
      <w:pPr>
        <w:pStyle w:val="b-bodytext"/>
        <w:spacing w:line="480" w:lineRule="auto"/>
      </w:pPr>
      <w:r w:rsidRPr="0059378C">
        <w:t xml:space="preserve">Most trust instruments provide that distributions may be made </w:t>
      </w:r>
      <w:r w:rsidR="001A6DCB">
        <w:t>“</w:t>
      </w:r>
      <w:r w:rsidRPr="0059378C">
        <w:t>to or for the benefit of the beneficiary,</w:t>
      </w:r>
      <w:r w:rsidR="001A6DCB">
        <w:t>”</w:t>
      </w:r>
      <w:r w:rsidRPr="0059378C">
        <w:t xml:space="preserve"> opening the door for the trustee to pay expenses of the beneficiary directly.</w:t>
      </w:r>
      <w:r w:rsidRPr="0059378C">
        <w:rPr>
          <w:rStyle w:val="FootnoteReference"/>
        </w:rPr>
        <w:footnoteReference w:id="292"/>
      </w:r>
    </w:p>
    <w:p w14:paraId="74A3D92A" w14:textId="77777777" w:rsidR="003A0665" w:rsidRDefault="003A0665" w:rsidP="00561F7C">
      <w:pPr>
        <w:pStyle w:val="a-3rdSubHd"/>
        <w:spacing w:line="480" w:lineRule="auto"/>
      </w:pPr>
      <w:bookmarkStart w:id="105" w:name="_Toc7167215"/>
      <w:bookmarkStart w:id="106" w:name="_Toc31203632"/>
      <w:r w:rsidRPr="008C49FA">
        <w:t>1.  Facility of Payment Clause</w:t>
      </w:r>
      <w:bookmarkEnd w:id="105"/>
      <w:bookmarkEnd w:id="106"/>
    </w:p>
    <w:p w14:paraId="409EA64E" w14:textId="41200AF7" w:rsidR="003A0665" w:rsidRPr="0059378C" w:rsidRDefault="003A0665" w:rsidP="00561F7C">
      <w:pPr>
        <w:pStyle w:val="b-bodytext"/>
        <w:spacing w:line="480" w:lineRule="auto"/>
      </w:pPr>
      <w:r w:rsidRPr="0059378C">
        <w:t xml:space="preserve">Section 113.021 of the Texas </w:t>
      </w:r>
      <w:r w:rsidR="007C4586">
        <w:t>Trust</w:t>
      </w:r>
      <w:r w:rsidR="007C4586" w:rsidRPr="0059378C">
        <w:t xml:space="preserve"> </w:t>
      </w:r>
      <w:r w:rsidRPr="0059378C">
        <w:t xml:space="preserve">Code authorizes the trustee to make distributions to an alternative recipient on behalf of a beneficiary or to expend the distribution for the benefit of a beneficiary </w:t>
      </w:r>
      <w:r w:rsidR="001A6DCB">
        <w:t>“</w:t>
      </w:r>
      <w:r w:rsidRPr="0059378C">
        <w:t>when the beneficiary is a minor or a person who in the judgement of the trustee is incapacitated by reason of legal incapacity or physical or mental illness or infirmity.</w:t>
      </w:r>
      <w:r w:rsidR="001A6DCB">
        <w:t>”</w:t>
      </w:r>
      <w:r w:rsidRPr="0059378C">
        <w:rPr>
          <w:rStyle w:val="FootnoteReference"/>
        </w:rPr>
        <w:footnoteReference w:id="293"/>
      </w:r>
    </w:p>
    <w:p w14:paraId="215ED435" w14:textId="60FD3CFB" w:rsidR="003A0665" w:rsidRPr="0059378C" w:rsidRDefault="003A0665" w:rsidP="00561F7C">
      <w:pPr>
        <w:pStyle w:val="b-bodytext"/>
        <w:spacing w:line="480" w:lineRule="auto"/>
      </w:pPr>
      <w:r w:rsidRPr="0059378C">
        <w:t>However, even if the beneficiary is not a minor or an incapacitated person, there may be situations in which the fiduciary does not feel comfortable making a distribution directly to a beneficiary.</w:t>
      </w:r>
      <w:r w:rsidRPr="0059378C">
        <w:rPr>
          <w:rStyle w:val="FootnoteReference"/>
        </w:rPr>
        <w:footnoteReference w:id="294"/>
      </w:r>
      <w:r w:rsidRPr="0059378C">
        <w:t xml:space="preserve">  This may be the case when a beneficiary is easily influenced by others, has dependency or addiction issues, or is a spendthrift.</w:t>
      </w:r>
      <w:r w:rsidRPr="0059378C">
        <w:rPr>
          <w:rStyle w:val="FootnoteReference"/>
        </w:rPr>
        <w:footnoteReference w:id="295"/>
      </w:r>
      <w:r w:rsidRPr="0059378C">
        <w:t xml:space="preserve"> </w:t>
      </w:r>
      <w:r w:rsidR="00F86FA3">
        <w:t> </w:t>
      </w:r>
      <w:r w:rsidRPr="0059378C">
        <w:t>A settlor may identify a concern regarding a particular beneficiary at the time of drafting, but if the trust is not created until the</w:t>
      </w:r>
      <w:r w:rsidR="00B37B53">
        <w:t xml:space="preserve"> settlor’s</w:t>
      </w:r>
      <w:r w:rsidRPr="0059378C">
        <w:t xml:space="preserve"> death </w:t>
      </w:r>
      <w:r w:rsidR="00B37B53">
        <w:t xml:space="preserve">or the death </w:t>
      </w:r>
      <w:r w:rsidRPr="0059378C">
        <w:t xml:space="preserve">of another beneficiary, the </w:t>
      </w:r>
      <w:r w:rsidRPr="0059378C">
        <w:lastRenderedPageBreak/>
        <w:t>settlor</w:t>
      </w:r>
      <w:r w:rsidR="001A6DCB">
        <w:t>’</w:t>
      </w:r>
      <w:r w:rsidRPr="0059378C">
        <w:t>s may want the trustee to determine whether such concern is still relevant at the future date that the property would pass to the beneficiary.</w:t>
      </w:r>
      <w:r w:rsidRPr="0059378C">
        <w:rPr>
          <w:rStyle w:val="FootnoteReference"/>
        </w:rPr>
        <w:footnoteReference w:id="296"/>
      </w:r>
      <w:r w:rsidRPr="0059378C">
        <w:t xml:space="preserve">  In other situations, it may just be easier for the fiduciary to expend funds directly on behalf of the beneficiary, rather than first distributing the funds to the beneficiary and then the beneficiary making payment to a third party.</w:t>
      </w:r>
      <w:r w:rsidRPr="0059378C">
        <w:rPr>
          <w:rStyle w:val="FootnoteReference"/>
        </w:rPr>
        <w:footnoteReference w:id="297"/>
      </w:r>
    </w:p>
    <w:p w14:paraId="64E49500" w14:textId="4AF87B7D" w:rsidR="003A0665" w:rsidRPr="0059378C" w:rsidRDefault="003A0665" w:rsidP="00561F7C">
      <w:pPr>
        <w:pStyle w:val="b-bodytext"/>
        <w:spacing w:line="480" w:lineRule="auto"/>
      </w:pPr>
      <w:r w:rsidRPr="0059378C">
        <w:t xml:space="preserve">Without a broad facility of payment clause, most distribution standards authorize the trustee to distribute trust property </w:t>
      </w:r>
      <w:r w:rsidR="001A6DCB">
        <w:t>“</w:t>
      </w:r>
      <w:r w:rsidRPr="0059378C">
        <w:t>to or for the benefit of</w:t>
      </w:r>
      <w:r w:rsidR="001A6DCB">
        <w:t>”</w:t>
      </w:r>
      <w:r w:rsidRPr="0059378C">
        <w:t xml:space="preserve"> a beneficiary, which can be interpreted to allow for alternative forms of payment.</w:t>
      </w:r>
      <w:r w:rsidRPr="0059378C">
        <w:rPr>
          <w:rStyle w:val="FootnoteReference"/>
        </w:rPr>
        <w:footnoteReference w:id="298"/>
      </w:r>
      <w:r w:rsidRPr="0059378C">
        <w:t xml:space="preserve"> </w:t>
      </w:r>
      <w:r w:rsidR="00F86FA3">
        <w:t> </w:t>
      </w:r>
      <w:r w:rsidRPr="0059378C">
        <w:t>However, if a settlor envisions such alternative payment methods being utilized, drafting attorneys should consider specific language releasing the trustee in making such determinations.</w:t>
      </w:r>
      <w:r w:rsidRPr="0059378C">
        <w:rPr>
          <w:rStyle w:val="FootnoteReference"/>
        </w:rPr>
        <w:footnoteReference w:id="299"/>
      </w:r>
    </w:p>
    <w:p w14:paraId="303501BC" w14:textId="77777777" w:rsidR="003A0665" w:rsidRDefault="003A0665" w:rsidP="00561F7C">
      <w:pPr>
        <w:pStyle w:val="a-3rdSubHd"/>
        <w:spacing w:line="480" w:lineRule="auto"/>
      </w:pPr>
      <w:bookmarkStart w:id="107" w:name="_Toc7167216"/>
      <w:bookmarkStart w:id="108" w:name="_Toc31203633"/>
      <w:r w:rsidRPr="001618B7">
        <w:t>2.  Distributions to Pay Off Debt</w:t>
      </w:r>
      <w:bookmarkEnd w:id="107"/>
      <w:bookmarkEnd w:id="108"/>
    </w:p>
    <w:p w14:paraId="475548A0" w14:textId="6E19463E" w:rsidR="003A0665" w:rsidRPr="0059378C" w:rsidRDefault="003A0665" w:rsidP="00561F7C">
      <w:pPr>
        <w:pStyle w:val="b-bodytext"/>
        <w:spacing w:line="480" w:lineRule="auto"/>
        <w:rPr>
          <w:i/>
        </w:rPr>
      </w:pPr>
      <w:r w:rsidRPr="0059378C">
        <w:t>Questions regarding if and when a trustee may distribute trust property to pay off debt for a beneficiary are likely to increase in the future if they have not already.</w:t>
      </w:r>
      <w:r w:rsidRPr="0059378C">
        <w:rPr>
          <w:rStyle w:val="FootnoteReference"/>
        </w:rPr>
        <w:footnoteReference w:id="300"/>
      </w:r>
      <w:r w:rsidRPr="0059378C">
        <w:t xml:space="preserve">  </w:t>
      </w:r>
      <w:r w:rsidR="00B37B53">
        <w:t>T</w:t>
      </w:r>
      <w:r w:rsidRPr="0059378C">
        <w:t xml:space="preserve">he Federal Reserve reports that Americans over age </w:t>
      </w:r>
      <w:r w:rsidR="00960C66">
        <w:t>fifty</w:t>
      </w:r>
      <w:r w:rsidR="00960C66" w:rsidRPr="0059378C">
        <w:t xml:space="preserve"> </w:t>
      </w:r>
      <w:r w:rsidRPr="0059378C">
        <w:t xml:space="preserve">owed more than $260 billion in student debt, up from $36 billion in </w:t>
      </w:r>
      <w:r w:rsidRPr="0059378C">
        <w:lastRenderedPageBreak/>
        <w:t>2004.</w:t>
      </w:r>
      <w:r w:rsidRPr="0059378C">
        <w:rPr>
          <w:rStyle w:val="FootnoteReference"/>
        </w:rPr>
        <w:footnoteReference w:id="301"/>
      </w:r>
      <w:r w:rsidRPr="0059378C">
        <w:t xml:space="preserve">  As life expectancy increases, the length of lifetime trusts do as well, meaning that remainder beneficiaries may not have access to such trust funds for a large portion of their lives.</w:t>
      </w:r>
      <w:r w:rsidRPr="0059378C">
        <w:rPr>
          <w:rStyle w:val="FootnoteReference"/>
        </w:rPr>
        <w:footnoteReference w:id="302"/>
      </w:r>
      <w:r w:rsidRPr="0059378C">
        <w:t xml:space="preserve">  Spendthrift clauses may protect trust funds from seizure by creditors, but that does not mean that beneficiaries will not request distributions to pay down individual debt.</w:t>
      </w:r>
      <w:r w:rsidRPr="0059378C">
        <w:rPr>
          <w:rStyle w:val="FootnoteReference"/>
        </w:rPr>
        <w:footnoteReference w:id="303"/>
      </w:r>
    </w:p>
    <w:p w14:paraId="1CB1DF0C" w14:textId="1AE7E462" w:rsidR="003A0665" w:rsidRPr="00B72F3E" w:rsidRDefault="003A0665" w:rsidP="00561F7C">
      <w:pPr>
        <w:pStyle w:val="b-bodytext"/>
        <w:spacing w:line="480" w:lineRule="auto"/>
        <w:rPr>
          <w:i/>
        </w:rPr>
      </w:pPr>
      <w:r w:rsidRPr="0059378C">
        <w:t xml:space="preserve">If faced with this question, trustees should consider </w:t>
      </w:r>
      <w:r w:rsidRPr="0059378C">
        <w:rPr>
          <w:i/>
        </w:rPr>
        <w:t>Nations Bank of Virginia v. Grandy</w:t>
      </w:r>
      <w:r w:rsidRPr="0059378C">
        <w:t>, where the court held that, despite unfettered discretion to do so, trustees properly refused to invade</w:t>
      </w:r>
      <w:r w:rsidR="00960C66">
        <w:t xml:space="preserve"> a</w:t>
      </w:r>
      <w:r w:rsidRPr="0059378C">
        <w:t xml:space="preserve"> principal to pay a beneficiary</w:t>
      </w:r>
      <w:r w:rsidR="001A6DCB">
        <w:t>’</w:t>
      </w:r>
      <w:r w:rsidRPr="0059378C">
        <w:t>s debts when she had substantial assets outside the trust sufficient to pay.</w:t>
      </w:r>
      <w:r w:rsidRPr="0059378C">
        <w:rPr>
          <w:rStyle w:val="FootnoteReference"/>
        </w:rPr>
        <w:footnoteReference w:id="304"/>
      </w:r>
      <w:r w:rsidR="00B72F3E">
        <w:t xml:space="preserve"> </w:t>
      </w:r>
      <w:r w:rsidRPr="00B72F3E">
        <w:t xml:space="preserve">On the other hand, in </w:t>
      </w:r>
      <w:r w:rsidRPr="00B72F3E">
        <w:rPr>
          <w:i/>
        </w:rPr>
        <w:t xml:space="preserve">In re Family Trust of </w:t>
      </w:r>
      <w:proofErr w:type="spellStart"/>
      <w:r w:rsidRPr="00B72F3E">
        <w:rPr>
          <w:i/>
        </w:rPr>
        <w:t>Windus</w:t>
      </w:r>
      <w:proofErr w:type="spellEnd"/>
      <w:r w:rsidRPr="00B72F3E">
        <w:t>, the court held that an invasion of principal to pay credit card debt in excess of $60,000 was permissible under the support standard.</w:t>
      </w:r>
      <w:r w:rsidRPr="00B72F3E">
        <w:rPr>
          <w:rStyle w:val="FootnoteReference"/>
        </w:rPr>
        <w:footnoteReference w:id="305"/>
      </w:r>
    </w:p>
    <w:p w14:paraId="514295A7" w14:textId="5AA8A94A" w:rsidR="003A0665" w:rsidRPr="0059378C" w:rsidRDefault="003A0665" w:rsidP="00561F7C">
      <w:pPr>
        <w:pStyle w:val="b-bodytext"/>
        <w:spacing w:line="480" w:lineRule="auto"/>
      </w:pPr>
      <w:r w:rsidRPr="0059378C">
        <w:t>In both cases, the court was asked to determine if a beneficiary with assets outside of trust could refuse to use </w:t>
      </w:r>
      <w:r w:rsidR="00B37B53">
        <w:t>such individually-held assets</w:t>
      </w:r>
      <w:r w:rsidRPr="0059378C">
        <w:t xml:space="preserve"> </w:t>
      </w:r>
      <w:r w:rsidRPr="0059378C">
        <w:lastRenderedPageBreak/>
        <w:t>and instead rely on trust principal to the detriment of the remainder interests.</w:t>
      </w:r>
      <w:r w:rsidRPr="0059378C">
        <w:rPr>
          <w:rStyle w:val="FootnoteReference"/>
        </w:rPr>
        <w:footnoteReference w:id="306"/>
      </w:r>
      <w:r w:rsidRPr="0059378C">
        <w:t xml:space="preserve">  In each case, the court examined the language of the distribution provisions to determine whether the intent of the settlor was to create a support trust or </w:t>
      </w:r>
      <w:r w:rsidR="001A6DCB">
        <w:t>“</w:t>
      </w:r>
      <w:r w:rsidRPr="0059378C">
        <w:t>discretionary support trust</w:t>
      </w:r>
      <w:r w:rsidR="001A6DCB">
        <w:t>”</w:t>
      </w:r>
      <w:r w:rsidRPr="0059378C">
        <w:t xml:space="preserve"> — a hybrid.</w:t>
      </w:r>
      <w:r w:rsidRPr="0059378C">
        <w:rPr>
          <w:rStyle w:val="FootnoteReference"/>
        </w:rPr>
        <w:footnoteReference w:id="307"/>
      </w:r>
      <w:r w:rsidRPr="0059378C">
        <w:t xml:space="preserve"> </w:t>
      </w:r>
      <w:r w:rsidR="00F86FA3">
        <w:t> </w:t>
      </w:r>
      <w:r w:rsidRPr="0059378C">
        <w:t>The courts reached opposite conclusions based on subtle nuances in the language of the provisions as well as differences in the intent of the settlor in these cases.</w:t>
      </w:r>
      <w:r w:rsidRPr="0059378C">
        <w:rPr>
          <w:rStyle w:val="FootnoteReference"/>
        </w:rPr>
        <w:footnoteReference w:id="308"/>
      </w:r>
    </w:p>
    <w:p w14:paraId="0274167E" w14:textId="77777777" w:rsidR="003A0665" w:rsidRPr="0059378C" w:rsidRDefault="003A0665" w:rsidP="00561F7C">
      <w:pPr>
        <w:pStyle w:val="a-3rdSubHd"/>
        <w:spacing w:line="480" w:lineRule="auto"/>
      </w:pPr>
      <w:bookmarkStart w:id="109" w:name="_Toc7167217"/>
      <w:bookmarkStart w:id="110" w:name="_Toc31203634"/>
      <w:r w:rsidRPr="0059378C">
        <w:t>3.  Considerations Regarding Distributions to Undesirable Persons</w:t>
      </w:r>
      <w:bookmarkEnd w:id="109"/>
      <w:bookmarkEnd w:id="110"/>
    </w:p>
    <w:p w14:paraId="2F088755" w14:textId="1884F6BE" w:rsidR="003A0665" w:rsidRDefault="003A0665">
      <w:pPr>
        <w:pStyle w:val="b-bodytext"/>
        <w:spacing w:line="480" w:lineRule="auto"/>
      </w:pPr>
      <w:r w:rsidRPr="0059378C">
        <w:t>In most circumstances, a trust settlor will not have a problem with distributions being made to the guardian or other similar representative of a beneficiary.</w:t>
      </w:r>
      <w:r w:rsidRPr="0059378C">
        <w:rPr>
          <w:rStyle w:val="FootnoteReference"/>
        </w:rPr>
        <w:footnoteReference w:id="309"/>
      </w:r>
      <w:r w:rsidRPr="0059378C">
        <w:t xml:space="preserve"> </w:t>
      </w:r>
      <w:r w:rsidR="00F86FA3">
        <w:t> </w:t>
      </w:r>
      <w:r w:rsidRPr="0059378C">
        <w:t>However, there may be situations in which the testator or settlor is fearful that a particular person may mishandle funds intended for the beneficiary.</w:t>
      </w:r>
      <w:r w:rsidRPr="0059378C">
        <w:rPr>
          <w:rStyle w:val="FootnoteReference"/>
        </w:rPr>
        <w:footnoteReference w:id="310"/>
      </w:r>
      <w:r w:rsidRPr="0059378C">
        <w:t xml:space="preserve">  One scenario where this can occur is when one parent of a minor child does not want </w:t>
      </w:r>
      <w:r w:rsidR="00B37B53">
        <w:t>the child’s other biological parent</w:t>
      </w:r>
      <w:r w:rsidRPr="0059378C">
        <w:t xml:space="preserve"> to have </w:t>
      </w:r>
      <w:r w:rsidRPr="0059378C">
        <w:lastRenderedPageBreak/>
        <w:t>unrestricted access to the minor child</w:t>
      </w:r>
      <w:r w:rsidR="001A6DCB">
        <w:t>’</w:t>
      </w:r>
      <w:r w:rsidRPr="0059378C">
        <w:t>s assets.</w:t>
      </w:r>
      <w:r w:rsidRPr="0059378C">
        <w:rPr>
          <w:rStyle w:val="FootnoteReference"/>
        </w:rPr>
        <w:footnoteReference w:id="311"/>
      </w:r>
      <w:r w:rsidRPr="0059378C">
        <w:t xml:space="preserve">  If a client has these concerns about such an </w:t>
      </w:r>
      <w:r w:rsidR="001A6DCB">
        <w:t>“</w:t>
      </w:r>
      <w:r w:rsidRPr="0059378C">
        <w:t>undesirable person,</w:t>
      </w:r>
      <w:r w:rsidR="001A6DCB">
        <w:t>”</w:t>
      </w:r>
      <w:r w:rsidRPr="0059378C">
        <w:t xml:space="preserve"> a drafting attorney should make sure to modify the facility of payment clause to address the situation.</w:t>
      </w:r>
      <w:r w:rsidRPr="0059378C">
        <w:rPr>
          <w:rStyle w:val="FootnoteReference"/>
        </w:rPr>
        <w:footnoteReference w:id="312"/>
      </w:r>
      <w:r w:rsidR="00051219">
        <w:t xml:space="preserve"> </w:t>
      </w:r>
      <w:r w:rsidRPr="0059378C">
        <w:t>Language similar to the following can be included in the facility of payment provision to provide additional instructions to the fiduciary regarding the undesirable person.</w:t>
      </w:r>
      <w:r w:rsidRPr="0059378C">
        <w:rPr>
          <w:rStyle w:val="FootnoteReference"/>
        </w:rPr>
        <w:footnoteReference w:id="313"/>
      </w:r>
    </w:p>
    <w:p w14:paraId="753CA2EA" w14:textId="77777777" w:rsidR="003A0665" w:rsidRPr="0059378C" w:rsidRDefault="003A0665" w:rsidP="00561F7C">
      <w:pPr>
        <w:spacing w:line="480" w:lineRule="auto"/>
      </w:pPr>
    </w:p>
    <w:tbl>
      <w:tblPr>
        <w:tblStyle w:val="TableGrid"/>
        <w:tblW w:w="0" w:type="auto"/>
        <w:jc w:val="center"/>
        <w:shd w:val="pct5" w:color="auto" w:fill="auto"/>
        <w:tblLook w:val="04A0" w:firstRow="1" w:lastRow="0" w:firstColumn="1" w:lastColumn="0" w:noHBand="0" w:noVBand="1"/>
      </w:tblPr>
      <w:tblGrid>
        <w:gridCol w:w="6710"/>
      </w:tblGrid>
      <w:tr w:rsidR="003A0665" w:rsidRPr="0059378C" w14:paraId="4A82FCBE" w14:textId="77777777" w:rsidTr="00D3595A">
        <w:trPr>
          <w:jc w:val="center"/>
        </w:trPr>
        <w:tc>
          <w:tcPr>
            <w:tcW w:w="7249" w:type="dxa"/>
            <w:shd w:val="pct5" w:color="auto" w:fill="auto"/>
          </w:tcPr>
          <w:p w14:paraId="3242DF73" w14:textId="77777777" w:rsidR="003A0665" w:rsidRPr="00F86FA3" w:rsidRDefault="003A0665" w:rsidP="00561F7C">
            <w:pPr>
              <w:spacing w:line="480" w:lineRule="auto"/>
              <w:jc w:val="both"/>
              <w:rPr>
                <w:rFonts w:ascii="Times New Roman" w:hAnsi="Times New Roman" w:cs="Times New Roman"/>
                <w:sz w:val="22"/>
                <w:szCs w:val="22"/>
              </w:rPr>
            </w:pPr>
            <w:r w:rsidRPr="00F86FA3">
              <w:rPr>
                <w:rFonts w:ascii="Times New Roman" w:hAnsi="Times New Roman" w:cs="Times New Roman"/>
                <w:sz w:val="22"/>
                <w:szCs w:val="22"/>
              </w:rPr>
              <w:t>Notwithstanding the foregoing, it is my desire that to the extent possible, the Fiduciary not make distributions directly to [Undesirable Person].  To that end, if [Undesirable Person] is serving as the guardian or other similar representative of the beneficiary, I desire that the Fiduciary make distributions by expending the same directly for the benefit of the beneficiary.  With respect to any reimbursement to [Undesirable Person] if [he/she] has advanced funds for the benefit of the beneficiary, it is my desire that the Fiduciary require that [Undesirable Person] produce receipts or other evidence of expenditures on behalf of the beneficiary before reimbursement is made.</w:t>
            </w:r>
            <w:r w:rsidRPr="00F86FA3">
              <w:rPr>
                <w:rStyle w:val="FootnoteReference"/>
                <w:rFonts w:cs="Times New Roman"/>
                <w:szCs w:val="22"/>
              </w:rPr>
              <w:footnoteReference w:id="314"/>
            </w:r>
          </w:p>
        </w:tc>
      </w:tr>
    </w:tbl>
    <w:p w14:paraId="557FA79A" w14:textId="77777777" w:rsidR="003A0665" w:rsidRDefault="003A0665" w:rsidP="00561F7C">
      <w:pPr>
        <w:pStyle w:val="a-2ndSubHd"/>
        <w:spacing w:line="480" w:lineRule="auto"/>
        <w:rPr>
          <w:iCs/>
        </w:rPr>
      </w:pPr>
      <w:bookmarkStart w:id="111" w:name="_Toc7167218"/>
      <w:bookmarkStart w:id="112" w:name="_Toc31203635"/>
      <w:r w:rsidRPr="00D30DEB">
        <w:lastRenderedPageBreak/>
        <w:t>C.  Keeping Records</w:t>
      </w:r>
      <w:bookmarkEnd w:id="111"/>
      <w:bookmarkEnd w:id="112"/>
    </w:p>
    <w:p w14:paraId="454A046C" w14:textId="3742508E" w:rsidR="003A0665" w:rsidRPr="0059378C" w:rsidRDefault="003A0665" w:rsidP="00561F7C">
      <w:pPr>
        <w:pStyle w:val="b-bodytext"/>
        <w:spacing w:line="480" w:lineRule="auto"/>
      </w:pPr>
      <w:r w:rsidRPr="0059378C">
        <w:t>A trustee has a duty to keep accurate, complete, and orderly books and records for the trust which, in addition to financial records, include information about the beneficiaries as well as any legal and business records regarding the trust estate.</w:t>
      </w:r>
      <w:r w:rsidRPr="0059378C">
        <w:rPr>
          <w:rStyle w:val="FootnoteReference"/>
          <w:bCs/>
        </w:rPr>
        <w:footnoteReference w:id="315"/>
      </w:r>
    </w:p>
    <w:p w14:paraId="4E8F9637" w14:textId="089B91E5" w:rsidR="003A0665" w:rsidRPr="0059378C" w:rsidRDefault="003A0665" w:rsidP="00561F7C">
      <w:pPr>
        <w:pStyle w:val="b-bodytext"/>
        <w:spacing w:line="480" w:lineRule="auto"/>
      </w:pPr>
      <w:r w:rsidRPr="0059378C">
        <w:t>There is no statute specifically requiring a trustee to keep accurate books and records, but thorough documentation is implicitly necessary to proper</w:t>
      </w:r>
      <w:r w:rsidR="009A46AE">
        <w:t>l</w:t>
      </w:r>
      <w:r w:rsidRPr="0059378C">
        <w:t>y administer a trust.</w:t>
      </w:r>
      <w:r w:rsidR="00960C66">
        <w:rPr>
          <w:rStyle w:val="FootnoteReference"/>
        </w:rPr>
        <w:footnoteReference w:id="316"/>
      </w:r>
      <w:r w:rsidRPr="0059378C">
        <w:t xml:space="preserve"> For example, a trustee must have accurate books and records to comply with the trustee</w:t>
      </w:r>
      <w:r w:rsidR="001A6DCB">
        <w:t>’</w:t>
      </w:r>
      <w:r w:rsidRPr="0059378C">
        <w:t>s duty to provide proper disclosure, prepare a statutory accounting upon request, determine trust income for distributions, and to prepare trust tax returns.</w:t>
      </w:r>
      <w:r w:rsidRPr="0059378C">
        <w:rPr>
          <w:rStyle w:val="FootnoteReference"/>
          <w:bCs/>
        </w:rPr>
        <w:footnoteReference w:id="317"/>
      </w:r>
    </w:p>
    <w:p w14:paraId="7582ACF8" w14:textId="77777777" w:rsidR="003A0665" w:rsidRDefault="003A0665" w:rsidP="00561F7C">
      <w:pPr>
        <w:pStyle w:val="a-3rdSubHd"/>
        <w:spacing w:line="480" w:lineRule="auto"/>
      </w:pPr>
      <w:bookmarkStart w:id="113" w:name="_Toc7167219"/>
      <w:bookmarkStart w:id="114" w:name="_Toc31203636"/>
      <w:r w:rsidRPr="001618B7">
        <w:t>1.  Financial Information</w:t>
      </w:r>
      <w:bookmarkEnd w:id="113"/>
      <w:bookmarkEnd w:id="114"/>
    </w:p>
    <w:p w14:paraId="7EA4090B" w14:textId="0C3FBA2A" w:rsidR="003A0665" w:rsidRPr="0059378C" w:rsidRDefault="003A0665" w:rsidP="00561F7C">
      <w:pPr>
        <w:pStyle w:val="b-bodytext"/>
        <w:spacing w:line="480" w:lineRule="auto"/>
      </w:pPr>
      <w:r w:rsidRPr="0059378C">
        <w:t>Keeping records includes, in part, knowing about the beneficiary(</w:t>
      </w:r>
      <w:proofErr w:type="spellStart"/>
      <w:r w:rsidRPr="0059378C">
        <w:t>ies</w:t>
      </w:r>
      <w:proofErr w:type="spellEnd"/>
      <w:r w:rsidRPr="0059378C">
        <w:t xml:space="preserve">) of the trust, including their abilities and challenges insofar as financial matters, any third-party debts and obligations that exist, and their needs and personal </w:t>
      </w:r>
      <w:r w:rsidRPr="0059378C">
        <w:lastRenderedPageBreak/>
        <w:t>finances.</w:t>
      </w:r>
      <w:r w:rsidRPr="0059378C">
        <w:rPr>
          <w:rStyle w:val="FootnoteReference"/>
        </w:rPr>
        <w:footnoteReference w:id="318"/>
      </w:r>
      <w:r w:rsidRPr="0059378C">
        <w:t xml:space="preserve">  While some beneficiaries may find some questions intrusive, the information is necessary since a trustee has a duty to be informed as to a beneficiary</w:t>
      </w:r>
      <w:r w:rsidR="001A6DCB">
        <w:t>’</w:t>
      </w:r>
      <w:r w:rsidRPr="0059378C">
        <w:t>s needs and resources.</w:t>
      </w:r>
      <w:bookmarkStart w:id="115" w:name="_Ref34228086"/>
      <w:r w:rsidRPr="0059378C">
        <w:rPr>
          <w:rStyle w:val="FootnoteReference"/>
        </w:rPr>
        <w:footnoteReference w:id="319"/>
      </w:r>
      <w:bookmarkEnd w:id="115"/>
    </w:p>
    <w:p w14:paraId="75FBE739" w14:textId="0AB9D580" w:rsidR="003A0665" w:rsidRPr="0059378C" w:rsidRDefault="003A0665" w:rsidP="00561F7C">
      <w:pPr>
        <w:pStyle w:val="b-bodytext"/>
        <w:spacing w:line="480" w:lineRule="auto"/>
      </w:pPr>
      <w:r w:rsidRPr="0059378C">
        <w:t>Attorneys may want to inform their clients about this practice and solicit their intent regarding the trustee</w:t>
      </w:r>
      <w:r w:rsidR="001A6DCB">
        <w:t>’</w:t>
      </w:r>
      <w:r w:rsidRPr="0059378C">
        <w:t>s duty to inquire.</w:t>
      </w:r>
      <w:r w:rsidRPr="0059378C">
        <w:rPr>
          <w:rStyle w:val="FootnoteReference"/>
        </w:rPr>
        <w:footnoteReference w:id="320"/>
      </w:r>
      <w:r w:rsidRPr="0059378C">
        <w:t xml:space="preserve">  To this end, a trustee has discretion as to what documentation to request from beneficiaries, and many people would rather answer specific questions or prepare financial statements than provide tax returns</w:t>
      </w:r>
      <w:r w:rsidR="006E2D64">
        <w:t xml:space="preserve"> because</w:t>
      </w:r>
      <w:r w:rsidRPr="0059378C">
        <w:t xml:space="preserve"> tax returns often fail to provide a clear picture of financial resources.</w:t>
      </w:r>
      <w:r w:rsidRPr="0059378C">
        <w:rPr>
          <w:rStyle w:val="FootnoteReference"/>
        </w:rPr>
        <w:footnoteReference w:id="321"/>
      </w:r>
      <w:r w:rsidRPr="0059378C">
        <w:t xml:space="preserve"> </w:t>
      </w:r>
      <w:r w:rsidR="00161560">
        <w:t> </w:t>
      </w:r>
      <w:r w:rsidR="008F616E">
        <w:t>However,</w:t>
      </w:r>
      <w:r w:rsidRPr="0059378C">
        <w:t xml:space="preserve"> some corporate trustees require beneficiaries to provide tax returns</w:t>
      </w:r>
      <w:r w:rsidR="008F616E">
        <w:t xml:space="preserve"> as internal bank policy</w:t>
      </w:r>
      <w:r w:rsidRPr="0059378C">
        <w:t>.</w:t>
      </w:r>
      <w:r w:rsidRPr="0059378C">
        <w:rPr>
          <w:rStyle w:val="FootnoteReference"/>
        </w:rPr>
        <w:footnoteReference w:id="322"/>
      </w:r>
    </w:p>
    <w:p w14:paraId="5BE27C34" w14:textId="2F1441C1" w:rsidR="003A0665" w:rsidRDefault="003A0665" w:rsidP="00561F7C">
      <w:pPr>
        <w:pStyle w:val="b-bodytext"/>
        <w:spacing w:line="480" w:lineRule="auto"/>
      </w:pPr>
      <w:r w:rsidRPr="0059378C">
        <w:t>If applicable, a drafter should inform a client that, in many cases, court</w:t>
      </w:r>
      <w:r w:rsidR="00161560">
        <w:noBreakHyphen/>
      </w:r>
      <w:r w:rsidRPr="0059378C">
        <w:t>ordered child support obligations will trump a trust containing a spendthrift clause, meaning that a court may order the trustees to make disbursements for the support of a trust beneficiary</w:t>
      </w:r>
      <w:r w:rsidR="001A6DCB">
        <w:t>’</w:t>
      </w:r>
      <w:r w:rsidRPr="0059378C">
        <w:t xml:space="preserve">s child to the extent the trustees would otherwise be required to make payments to the </w:t>
      </w:r>
      <w:r w:rsidRPr="0059378C">
        <w:lastRenderedPageBreak/>
        <w:t>beneficiary</w:t>
      </w:r>
      <w:r w:rsidR="00161560">
        <w:noBreakHyphen/>
      </w:r>
      <w:r w:rsidRPr="0059378C">
        <w:t>parent who is required to make child support payments.</w:t>
      </w:r>
      <w:r w:rsidRPr="0059378C">
        <w:rPr>
          <w:rStyle w:val="FootnoteReference"/>
        </w:rPr>
        <w:footnoteReference w:id="323"/>
      </w:r>
      <w:r w:rsidRPr="0059378C">
        <w:t xml:space="preserve"> </w:t>
      </w:r>
      <w:r w:rsidR="00161560">
        <w:t> </w:t>
      </w:r>
      <w:r w:rsidRPr="0059378C">
        <w:t>In Texas, if disbursement is discretionary, the court may order child support payments from the income of the trust but not from the principal.</w:t>
      </w:r>
      <w:r w:rsidRPr="0059378C">
        <w:rPr>
          <w:rStyle w:val="FootnoteReference"/>
        </w:rPr>
        <w:footnoteReference w:id="324"/>
      </w:r>
    </w:p>
    <w:p w14:paraId="60A4C480" w14:textId="77777777" w:rsidR="003A0665" w:rsidRDefault="003A0665" w:rsidP="00561F7C">
      <w:pPr>
        <w:pStyle w:val="a-3rdSubHd"/>
        <w:spacing w:line="480" w:lineRule="auto"/>
      </w:pPr>
      <w:bookmarkStart w:id="116" w:name="_Toc7167220"/>
      <w:bookmarkStart w:id="117" w:name="_Toc31203637"/>
      <w:r w:rsidRPr="001618B7">
        <w:t>2.  Substance Abuse</w:t>
      </w:r>
      <w:bookmarkEnd w:id="116"/>
      <w:bookmarkEnd w:id="117"/>
    </w:p>
    <w:p w14:paraId="7B5A4C1E" w14:textId="23897620" w:rsidR="003A0665" w:rsidRPr="0059378C" w:rsidRDefault="003A0665" w:rsidP="00561F7C">
      <w:pPr>
        <w:pStyle w:val="b-bodytext"/>
        <w:spacing w:line="480" w:lineRule="auto"/>
      </w:pPr>
      <w:r w:rsidRPr="0059378C">
        <w:t xml:space="preserve">It is an unfortunate fact in modern society that substance abuse is found at every </w:t>
      </w:r>
      <w:r w:rsidR="008F616E">
        <w:t xml:space="preserve">age and every </w:t>
      </w:r>
      <w:r w:rsidRPr="0059378C">
        <w:t>level of affluence.</w:t>
      </w:r>
      <w:r w:rsidRPr="0059378C">
        <w:rPr>
          <w:rStyle w:val="FootnoteReference"/>
        </w:rPr>
        <w:footnoteReference w:id="325"/>
      </w:r>
      <w:r w:rsidRPr="0059378C">
        <w:t xml:space="preserve">  A standard of living clause may inadvertently lead to a scenario in which a trustee distributes trust funds to maintain a beneficiary</w:t>
      </w:r>
      <w:r w:rsidR="001A6DCB">
        <w:t>’</w:t>
      </w:r>
      <w:r w:rsidRPr="0059378C">
        <w:t>s lifestyle while the beneficiary spends the trust assets on drugs or alcohol.</w:t>
      </w:r>
      <w:r w:rsidRPr="0059378C">
        <w:rPr>
          <w:rStyle w:val="FootnoteReference"/>
        </w:rPr>
        <w:footnoteReference w:id="326"/>
      </w:r>
      <w:r w:rsidRPr="0059378C">
        <w:t xml:space="preserve">  However, addressing substance abuse in trust documents is a complicated topic to draft, and it is even more complicated to administer.</w:t>
      </w:r>
      <w:r w:rsidRPr="0059378C">
        <w:rPr>
          <w:rStyle w:val="FootnoteReference"/>
        </w:rPr>
        <w:footnoteReference w:id="327"/>
      </w:r>
      <w:r w:rsidRPr="0059378C">
        <w:t xml:space="preserve">  Trust terms which are too onerous for the trustee to carry out may result in trustees resigning, declining to serve, or breaching fiduciary duties by failing to carry out the requirements on the trust.</w:t>
      </w:r>
      <w:r w:rsidRPr="0059378C">
        <w:rPr>
          <w:rStyle w:val="FootnoteReference"/>
        </w:rPr>
        <w:footnoteReference w:id="328"/>
      </w:r>
      <w:r w:rsidRPr="0059378C">
        <w:t xml:space="preserve">  Failing to address substance abuse in a trust instrument or terms that are too lax may </w:t>
      </w:r>
      <w:r w:rsidRPr="0059378C">
        <w:lastRenderedPageBreak/>
        <w:t>result in trust distributions supporting or encouraging a beneficiary</w:t>
      </w:r>
      <w:r w:rsidR="001A6DCB">
        <w:t>’</w:t>
      </w:r>
      <w:r w:rsidRPr="0059378C">
        <w:t>s problems.</w:t>
      </w:r>
      <w:r w:rsidRPr="0059378C">
        <w:rPr>
          <w:rStyle w:val="FootnoteReference"/>
        </w:rPr>
        <w:footnoteReference w:id="329"/>
      </w:r>
    </w:p>
    <w:p w14:paraId="52270539" w14:textId="5E5DAA0E" w:rsidR="003A0665" w:rsidRDefault="003A0665" w:rsidP="00561F7C">
      <w:pPr>
        <w:pStyle w:val="a-4thSubHead"/>
        <w:spacing w:line="480" w:lineRule="auto"/>
      </w:pPr>
      <w:bookmarkStart w:id="118" w:name="_Toc31203638"/>
      <w:r w:rsidRPr="0059378C">
        <w:t xml:space="preserve">a.  Different Terms Depending on </w:t>
      </w:r>
      <w:r w:rsidR="001A6DCB">
        <w:t>“</w:t>
      </w:r>
      <w:r w:rsidRPr="0059378C">
        <w:t>Substance</w:t>
      </w:r>
      <w:r w:rsidR="001A6DCB">
        <w:t>”</w:t>
      </w:r>
      <w:r w:rsidRPr="0059378C">
        <w:t xml:space="preserve"> Being Abused</w:t>
      </w:r>
      <w:bookmarkEnd w:id="118"/>
    </w:p>
    <w:p w14:paraId="27A31E16" w14:textId="4998C1B2" w:rsidR="003A0665" w:rsidRPr="0059378C" w:rsidRDefault="003A0665" w:rsidP="00561F7C">
      <w:pPr>
        <w:pStyle w:val="b-bodytext"/>
        <w:spacing w:line="480" w:lineRule="auto"/>
      </w:pPr>
      <w:r w:rsidRPr="0059378C">
        <w:t xml:space="preserve">Depending on the </w:t>
      </w:r>
      <w:r w:rsidR="001A6DCB">
        <w:t>“</w:t>
      </w:r>
      <w:r w:rsidRPr="0059378C">
        <w:t>substance</w:t>
      </w:r>
      <w:r w:rsidR="001A6DCB">
        <w:t>”</w:t>
      </w:r>
      <w:r w:rsidRPr="0059378C">
        <w:t xml:space="preserve"> at issue and the degree to which it is being used, the trustee may be asked to make a very subjective determination.</w:t>
      </w:r>
      <w:r w:rsidRPr="0059378C">
        <w:rPr>
          <w:rStyle w:val="FootnoteReference"/>
        </w:rPr>
        <w:footnoteReference w:id="330"/>
      </w:r>
      <w:r w:rsidRPr="0059378C">
        <w:t xml:space="preserve">  The drinking habits of a nineteen-year old beneficiary in college may not rise to the level of </w:t>
      </w:r>
      <w:r w:rsidR="001A6DCB">
        <w:t>“</w:t>
      </w:r>
      <w:r w:rsidRPr="0059378C">
        <w:t>abuse</w:t>
      </w:r>
      <w:r w:rsidR="001A6DCB">
        <w:t>”</w:t>
      </w:r>
      <w:r w:rsidRPr="0059378C">
        <w:t xml:space="preserve"> whereas the same drinking patterns, if maintained by a forty-year old beneficiary with young children at home may be more problematic.</w:t>
      </w:r>
      <w:r w:rsidRPr="0059378C">
        <w:rPr>
          <w:rStyle w:val="FootnoteReference"/>
        </w:rPr>
        <w:footnoteReference w:id="331"/>
      </w:r>
    </w:p>
    <w:p w14:paraId="423F8D61" w14:textId="5E3D2B3C" w:rsidR="003A0665" w:rsidRPr="0059378C" w:rsidRDefault="003A0665" w:rsidP="00561F7C">
      <w:pPr>
        <w:pStyle w:val="b-bodytext"/>
        <w:spacing w:line="480" w:lineRule="auto"/>
      </w:pPr>
      <w:r w:rsidRPr="0059378C">
        <w:t>Moreover, medical marijuana is legal in thirty-three states, and marijuana is legal for recreational purposes in ten states.</w:t>
      </w:r>
      <w:r w:rsidRPr="0059378C">
        <w:rPr>
          <w:rStyle w:val="FootnoteReference"/>
        </w:rPr>
        <w:footnoteReference w:id="332"/>
      </w:r>
      <w:r w:rsidRPr="0059378C">
        <w:t xml:space="preserve"> </w:t>
      </w:r>
      <w:r w:rsidR="003F1248">
        <w:t> </w:t>
      </w:r>
      <w:r w:rsidRPr="0059378C">
        <w:t>If a twenty</w:t>
      </w:r>
      <w:r w:rsidR="00855402">
        <w:noBreakHyphen/>
      </w:r>
      <w:r w:rsidRPr="0059378C">
        <w:t>five</w:t>
      </w:r>
      <w:r w:rsidR="00855402">
        <w:noBreakHyphen/>
      </w:r>
      <w:r w:rsidRPr="0059378C">
        <w:t>year old beneficiary of a Texas trust regularly, but legally consumes marijuana in Colorado, would this be considered substance abuse?</w:t>
      </w:r>
      <w:r w:rsidRPr="0059378C">
        <w:rPr>
          <w:rStyle w:val="FootnoteReference"/>
        </w:rPr>
        <w:footnoteReference w:id="333"/>
      </w:r>
      <w:r w:rsidRPr="0059378C">
        <w:t xml:space="preserve">  It may be prudent to include language advising the trustee to seek </w:t>
      </w:r>
      <w:r w:rsidRPr="0059378C">
        <w:lastRenderedPageBreak/>
        <w:t>the opinion of a physician who, ideally at least, has examined the beneficiary at issue.</w:t>
      </w:r>
      <w:r w:rsidRPr="0059378C">
        <w:rPr>
          <w:rStyle w:val="FootnoteReference"/>
        </w:rPr>
        <w:footnoteReference w:id="334"/>
      </w:r>
    </w:p>
    <w:p w14:paraId="1B1FAAC4" w14:textId="77777777" w:rsidR="003A0665" w:rsidRDefault="003A0665" w:rsidP="00561F7C">
      <w:pPr>
        <w:pStyle w:val="a-4thSubHead"/>
        <w:spacing w:line="480" w:lineRule="auto"/>
      </w:pPr>
      <w:bookmarkStart w:id="119" w:name="_Toc31203639"/>
      <w:r w:rsidRPr="0059378C">
        <w:t>b.  Optional Trust Terms</w:t>
      </w:r>
      <w:bookmarkEnd w:id="119"/>
    </w:p>
    <w:p w14:paraId="2AA44FBC" w14:textId="5F8B0702" w:rsidR="003A0665" w:rsidRPr="0059378C" w:rsidRDefault="003A0665" w:rsidP="00561F7C">
      <w:pPr>
        <w:pStyle w:val="b-bodytext"/>
        <w:spacing w:line="480" w:lineRule="auto"/>
      </w:pPr>
      <w:r w:rsidRPr="0059378C">
        <w:t>Possible options for addressing substance abuse in a trust agreement include the requirement that all beneficiaries submit a drug screening, regardless of whether the trustee suspected drug use.</w:t>
      </w:r>
      <w:r w:rsidRPr="0059378C">
        <w:rPr>
          <w:rStyle w:val="FootnoteReference"/>
        </w:rPr>
        <w:footnoteReference w:id="335"/>
      </w:r>
      <w:r w:rsidRPr="0059378C">
        <w:t xml:space="preserve">  This may provide some protection for the trustee against claims of abuse of discretion, but it can also create additional problems and expenses.</w:t>
      </w:r>
      <w:r w:rsidRPr="0059378C">
        <w:rPr>
          <w:rStyle w:val="FootnoteReference"/>
        </w:rPr>
        <w:footnoteReference w:id="336"/>
      </w:r>
      <w:r w:rsidRPr="0059378C">
        <w:t xml:space="preserve">  Another approach is to provide the trustee with the power to create a new trust in which to segregate the funds that might otherwise have been distributed to the beneficiary with the substance abuse problem.</w:t>
      </w:r>
      <w:r w:rsidRPr="0059378C">
        <w:rPr>
          <w:rStyle w:val="FootnoteReference"/>
        </w:rPr>
        <w:footnoteReference w:id="337"/>
      </w:r>
      <w:r w:rsidRPr="0059378C">
        <w:t xml:space="preserve">  Essentially, this provision empowers the trustee to decant an interest into a trust with drug testing and other provisions that allow the trustee further discretion to address the problem.</w:t>
      </w:r>
      <w:r w:rsidRPr="0059378C">
        <w:rPr>
          <w:rStyle w:val="FootnoteReference"/>
        </w:rPr>
        <w:footnoteReference w:id="338"/>
      </w:r>
    </w:p>
    <w:p w14:paraId="7C93AB59" w14:textId="77777777" w:rsidR="003A0665" w:rsidRDefault="003A0665" w:rsidP="00561F7C">
      <w:pPr>
        <w:pStyle w:val="a-2ndSubHd"/>
        <w:spacing w:line="480" w:lineRule="auto"/>
        <w:rPr>
          <w:iCs/>
        </w:rPr>
      </w:pPr>
      <w:bookmarkStart w:id="120" w:name="_Toc7167221"/>
      <w:bookmarkStart w:id="121" w:name="_Toc31203640"/>
      <w:r w:rsidRPr="001618B7">
        <w:lastRenderedPageBreak/>
        <w:t>D.  Trust Protectors/Advisors</w:t>
      </w:r>
      <w:bookmarkEnd w:id="120"/>
      <w:bookmarkEnd w:id="121"/>
    </w:p>
    <w:p w14:paraId="4300A49F" w14:textId="7F2AA28B" w:rsidR="003A0665" w:rsidRPr="0059378C" w:rsidRDefault="003A0665" w:rsidP="00561F7C">
      <w:pPr>
        <w:pStyle w:val="b-bodytext"/>
        <w:spacing w:line="480" w:lineRule="auto"/>
      </w:pPr>
      <w:r w:rsidRPr="0059378C">
        <w:t>One method for injecting flexibility into a trust instrument</w:t>
      </w:r>
      <w:r w:rsidR="008F616E">
        <w:t xml:space="preserve"> mentioned earlier in this article</w:t>
      </w:r>
      <w:r w:rsidRPr="0059378C">
        <w:t xml:space="preserve"> is the appointment of trust protectors (also known as trust advisors, or if multiple persons are involved, a trust committee).</w:t>
      </w:r>
      <w:r w:rsidRPr="0059378C">
        <w:rPr>
          <w:rStyle w:val="FootnoteReference"/>
        </w:rPr>
        <w:footnoteReference w:id="339"/>
      </w:r>
    </w:p>
    <w:p w14:paraId="0AB84BB8" w14:textId="490A50AC" w:rsidR="003A0665" w:rsidRPr="0059378C" w:rsidRDefault="003A0665" w:rsidP="00561F7C">
      <w:pPr>
        <w:pStyle w:val="b-bodytext"/>
        <w:spacing w:line="480" w:lineRule="auto"/>
      </w:pPr>
      <w:r w:rsidRPr="0059378C">
        <w:t xml:space="preserve">Although definitions vary, a trust protector may be thought of as </w:t>
      </w:r>
      <w:r w:rsidR="001A6DCB">
        <w:t>“</w:t>
      </w:r>
      <w:r w:rsidRPr="0059378C">
        <w:t>a disinterested third party whom the settlor appoints to represent his or her best interests in the administration of the trust.</w:t>
      </w:r>
      <w:r w:rsidR="001A6DCB">
        <w:t>”</w:t>
      </w:r>
      <w:r w:rsidRPr="0059378C">
        <w:rPr>
          <w:rStyle w:val="FootnoteReference"/>
        </w:rPr>
        <w:footnoteReference w:id="340"/>
      </w:r>
      <w:r w:rsidRPr="0059378C">
        <w:t xml:space="preserve">  Trust protectors can be given a broad or narrow array of powers, depending on the situation.</w:t>
      </w:r>
      <w:r w:rsidRPr="0059378C">
        <w:rPr>
          <w:rStyle w:val="FootnoteReference"/>
        </w:rPr>
        <w:footnoteReference w:id="341"/>
      </w:r>
      <w:r w:rsidRPr="0059378C">
        <w:t xml:space="preserve">  Among other things, these powers may be strictly administrative, relate to investment decisions, control distributions, or some combination thereof.</w:t>
      </w:r>
      <w:r w:rsidRPr="0059378C">
        <w:rPr>
          <w:rStyle w:val="FootnoteReference"/>
        </w:rPr>
        <w:footnoteReference w:id="342"/>
      </w:r>
      <w:r w:rsidRPr="0059378C">
        <w:t xml:space="preserve"> </w:t>
      </w:r>
      <w:r w:rsidR="00855402">
        <w:t> </w:t>
      </w:r>
      <w:r w:rsidRPr="0059378C">
        <w:t>Unlike trustees, trust protectors are not vested with title, and they do not assume day</w:t>
      </w:r>
      <w:r w:rsidR="00855402">
        <w:noBreakHyphen/>
      </w:r>
      <w:r w:rsidRPr="0059378C">
        <w:t>to-day management and control over trust assets.</w:t>
      </w:r>
      <w:r w:rsidRPr="0059378C">
        <w:rPr>
          <w:rStyle w:val="FootnoteReference"/>
        </w:rPr>
        <w:footnoteReference w:id="343"/>
      </w:r>
    </w:p>
    <w:p w14:paraId="5B3D9128" w14:textId="09A2279B" w:rsidR="003A0665" w:rsidRPr="0059378C" w:rsidRDefault="003A0665" w:rsidP="00561F7C">
      <w:pPr>
        <w:pStyle w:val="b-bodytext"/>
        <w:spacing w:line="480" w:lineRule="auto"/>
      </w:pPr>
      <w:r w:rsidRPr="0059378C">
        <w:t>Texas Trust Code Section 114.0031 is the statute that most directly addresses trust protectors.</w:t>
      </w:r>
      <w:r w:rsidRPr="0059378C">
        <w:rPr>
          <w:rStyle w:val="FootnoteReference"/>
        </w:rPr>
        <w:footnoteReference w:id="344"/>
      </w:r>
      <w:r w:rsidRPr="0059378C">
        <w:t xml:space="preserve">  Subsection (d) outlines some of the powers that may be granted to a trust protector as follows:</w:t>
      </w:r>
    </w:p>
    <w:p w14:paraId="63F69807" w14:textId="3259FF3A" w:rsidR="003A0665" w:rsidRPr="0014127B" w:rsidRDefault="003A0665" w:rsidP="0014127B">
      <w:pPr>
        <w:pStyle w:val="b-bodytext"/>
        <w:tabs>
          <w:tab w:val="clear" w:pos="440"/>
          <w:tab w:val="left" w:pos="450"/>
          <w:tab w:val="left" w:pos="900"/>
        </w:tabs>
        <w:spacing w:line="480" w:lineRule="auto"/>
        <w:ind w:right="420" w:firstLine="450"/>
        <w:rPr>
          <w:sz w:val="20"/>
          <w:szCs w:val="20"/>
        </w:rPr>
      </w:pPr>
      <w:r w:rsidRPr="0014127B">
        <w:rPr>
          <w:sz w:val="20"/>
          <w:szCs w:val="20"/>
        </w:rPr>
        <w:lastRenderedPageBreak/>
        <w:t>(d)</w:t>
      </w:r>
      <w:r w:rsidR="00855402" w:rsidRPr="0014127B">
        <w:rPr>
          <w:sz w:val="20"/>
          <w:szCs w:val="20"/>
        </w:rPr>
        <w:tab/>
      </w:r>
      <w:r w:rsidRPr="0014127B">
        <w:rPr>
          <w:sz w:val="20"/>
          <w:szCs w:val="20"/>
        </w:rPr>
        <w:t xml:space="preserve">A protector has all the power and authority granted to the protector </w:t>
      </w:r>
      <w:r w:rsidR="00855402" w:rsidRPr="0014127B">
        <w:rPr>
          <w:sz w:val="20"/>
          <w:szCs w:val="20"/>
        </w:rPr>
        <w:tab/>
      </w:r>
      <w:r w:rsidR="00855402" w:rsidRPr="0014127B">
        <w:rPr>
          <w:sz w:val="20"/>
          <w:szCs w:val="20"/>
        </w:rPr>
        <w:tab/>
      </w:r>
      <w:r w:rsidRPr="0014127B">
        <w:rPr>
          <w:sz w:val="20"/>
          <w:szCs w:val="20"/>
        </w:rPr>
        <w:t>by the trust terms, which may include:</w:t>
      </w:r>
    </w:p>
    <w:p w14:paraId="06331EFC" w14:textId="6580338D" w:rsidR="003A0665" w:rsidRPr="0014127B" w:rsidRDefault="0083661E" w:rsidP="0014127B">
      <w:pPr>
        <w:pStyle w:val="b-bodytext"/>
        <w:tabs>
          <w:tab w:val="left" w:pos="900"/>
        </w:tabs>
        <w:spacing w:line="480" w:lineRule="auto"/>
        <w:ind w:right="420"/>
        <w:rPr>
          <w:sz w:val="20"/>
          <w:szCs w:val="20"/>
        </w:rPr>
      </w:pPr>
      <w:r>
        <w:rPr>
          <w:sz w:val="20"/>
          <w:szCs w:val="20"/>
        </w:rPr>
        <w:tab/>
      </w:r>
      <w:r w:rsidR="003A0665" w:rsidRPr="0014127B">
        <w:rPr>
          <w:sz w:val="20"/>
          <w:szCs w:val="20"/>
        </w:rPr>
        <w:t>(1)</w:t>
      </w:r>
      <w:r w:rsidR="00855402" w:rsidRPr="0014127B">
        <w:rPr>
          <w:sz w:val="20"/>
          <w:szCs w:val="20"/>
        </w:rPr>
        <w:tab/>
      </w:r>
      <w:r w:rsidR="003A0665" w:rsidRPr="0014127B">
        <w:rPr>
          <w:sz w:val="20"/>
          <w:szCs w:val="20"/>
        </w:rPr>
        <w:t xml:space="preserve">the power to remove and appoint trustees, advisors, trust </w:t>
      </w:r>
      <w:r w:rsidR="00855402" w:rsidRPr="0014127B">
        <w:rPr>
          <w:sz w:val="20"/>
          <w:szCs w:val="20"/>
        </w:rPr>
        <w:tab/>
      </w:r>
      <w:r w:rsidR="00855402" w:rsidRPr="0014127B">
        <w:rPr>
          <w:sz w:val="20"/>
          <w:szCs w:val="20"/>
        </w:rPr>
        <w:tab/>
      </w:r>
      <w:r w:rsidR="00855402" w:rsidRPr="0014127B">
        <w:rPr>
          <w:sz w:val="20"/>
          <w:szCs w:val="20"/>
        </w:rPr>
        <w:tab/>
      </w:r>
      <w:r w:rsidR="003A0665" w:rsidRPr="0014127B">
        <w:rPr>
          <w:sz w:val="20"/>
          <w:szCs w:val="20"/>
        </w:rPr>
        <w:t>committee members, and other protectors;</w:t>
      </w:r>
    </w:p>
    <w:p w14:paraId="7238663C" w14:textId="3CFCA3F9" w:rsidR="003A0665" w:rsidRPr="0014127B" w:rsidRDefault="0083661E" w:rsidP="0014127B">
      <w:pPr>
        <w:pStyle w:val="b-bodytext"/>
        <w:tabs>
          <w:tab w:val="left" w:pos="900"/>
        </w:tabs>
        <w:spacing w:line="480" w:lineRule="auto"/>
        <w:ind w:left="900" w:right="420" w:hanging="454"/>
        <w:rPr>
          <w:sz w:val="20"/>
          <w:szCs w:val="20"/>
        </w:rPr>
      </w:pPr>
      <w:r>
        <w:rPr>
          <w:sz w:val="20"/>
          <w:szCs w:val="20"/>
        </w:rPr>
        <w:tab/>
      </w:r>
      <w:r w:rsidR="003A0665" w:rsidRPr="0014127B">
        <w:rPr>
          <w:sz w:val="20"/>
          <w:szCs w:val="20"/>
        </w:rPr>
        <w:t>(2)</w:t>
      </w:r>
      <w:r w:rsidR="00855402" w:rsidRPr="0014127B">
        <w:rPr>
          <w:sz w:val="20"/>
          <w:szCs w:val="20"/>
        </w:rPr>
        <w:tab/>
      </w:r>
      <w:r w:rsidR="003A0665" w:rsidRPr="0014127B">
        <w:rPr>
          <w:sz w:val="20"/>
          <w:szCs w:val="20"/>
        </w:rPr>
        <w:t xml:space="preserve">the power to modify or amend the trust terms to achieve favorable tax status or to facilitate the efficient administration of the trust; </w:t>
      </w:r>
      <w:r w:rsidR="00855402" w:rsidRPr="0014127B">
        <w:rPr>
          <w:sz w:val="20"/>
          <w:szCs w:val="20"/>
        </w:rPr>
        <w:tab/>
      </w:r>
      <w:r w:rsidR="003A0665" w:rsidRPr="0014127B">
        <w:rPr>
          <w:sz w:val="20"/>
          <w:szCs w:val="20"/>
        </w:rPr>
        <w:t>and</w:t>
      </w:r>
    </w:p>
    <w:p w14:paraId="78B710F1" w14:textId="7029CA55" w:rsidR="003A0665" w:rsidRPr="0014127B" w:rsidRDefault="0083661E" w:rsidP="0014127B">
      <w:pPr>
        <w:pStyle w:val="b-bodytext"/>
        <w:tabs>
          <w:tab w:val="left" w:pos="900"/>
        </w:tabs>
        <w:spacing w:line="480" w:lineRule="auto"/>
        <w:ind w:left="720" w:right="420" w:hanging="274"/>
        <w:rPr>
          <w:sz w:val="20"/>
          <w:szCs w:val="20"/>
        </w:rPr>
      </w:pPr>
      <w:r>
        <w:rPr>
          <w:sz w:val="20"/>
          <w:szCs w:val="20"/>
        </w:rPr>
        <w:tab/>
      </w:r>
      <w:r w:rsidR="003A0665" w:rsidRPr="0014127B">
        <w:rPr>
          <w:sz w:val="20"/>
          <w:szCs w:val="20"/>
        </w:rPr>
        <w:t>(3)</w:t>
      </w:r>
      <w:r w:rsidR="00855402" w:rsidRPr="0014127B">
        <w:rPr>
          <w:sz w:val="20"/>
          <w:szCs w:val="20"/>
        </w:rPr>
        <w:tab/>
      </w:r>
      <w:r w:rsidR="003A0665" w:rsidRPr="0014127B">
        <w:rPr>
          <w:sz w:val="20"/>
          <w:szCs w:val="20"/>
        </w:rPr>
        <w:t>the power to modify, expand, or restrict the terms of a power of appointment granted to a beneficiary by the trust terms.</w:t>
      </w:r>
      <w:r w:rsidR="003A0665" w:rsidRPr="0014127B">
        <w:rPr>
          <w:rStyle w:val="FootnoteReference"/>
          <w:sz w:val="20"/>
          <w:szCs w:val="20"/>
        </w:rPr>
        <w:footnoteReference w:id="345"/>
      </w:r>
    </w:p>
    <w:p w14:paraId="2211E537" w14:textId="663B3C71" w:rsidR="003A0665" w:rsidRPr="0059378C" w:rsidRDefault="003A0665" w:rsidP="00561F7C">
      <w:pPr>
        <w:pStyle w:val="b-bodytext"/>
        <w:spacing w:line="480" w:lineRule="auto"/>
        <w:ind w:firstLine="0"/>
      </w:pPr>
      <w:r w:rsidRPr="0059378C">
        <w:t xml:space="preserve">The most significant obstacle and reason why trust protectors are not used more regularly is that most clients do not have disinterested third parties </w:t>
      </w:r>
      <w:r w:rsidR="008F616E">
        <w:t>to whom they would be willing to grant such broad</w:t>
      </w:r>
      <w:r w:rsidRPr="0059378C">
        <w:t xml:space="preserve"> powers.</w:t>
      </w:r>
      <w:r w:rsidRPr="0059378C">
        <w:rPr>
          <w:rStyle w:val="FootnoteReference"/>
        </w:rPr>
        <w:footnoteReference w:id="346"/>
      </w:r>
      <w:r w:rsidRPr="0059378C">
        <w:t xml:space="preserve"> </w:t>
      </w:r>
      <w:r>
        <w:t xml:space="preserve"> </w:t>
      </w:r>
      <w:r w:rsidR="008F616E">
        <w:t>And when they do, such trusted friends or extended family members</w:t>
      </w:r>
      <w:r w:rsidRPr="0059378C">
        <w:t xml:space="preserve"> are often of the same or a similar generation as the settlor.</w:t>
      </w:r>
      <w:r w:rsidRPr="0059378C">
        <w:rPr>
          <w:rStyle w:val="FootnoteReference"/>
        </w:rPr>
        <w:footnoteReference w:id="347"/>
      </w:r>
    </w:p>
    <w:p w14:paraId="2393259B" w14:textId="161EFC43" w:rsidR="003A0665" w:rsidRDefault="003A0665" w:rsidP="00561F7C">
      <w:pPr>
        <w:pStyle w:val="b-bodytext"/>
        <w:spacing w:line="480" w:lineRule="auto"/>
      </w:pPr>
      <w:r w:rsidRPr="0059378C">
        <w:t>For a more thorough discussion of trust protectors, see Christian Kelso</w:t>
      </w:r>
      <w:r w:rsidR="001A6DCB">
        <w:t>’</w:t>
      </w:r>
      <w:r w:rsidRPr="0059378C">
        <w:t xml:space="preserve">s article </w:t>
      </w:r>
      <w:r w:rsidRPr="0059378C">
        <w:rPr>
          <w:i/>
        </w:rPr>
        <w:t>Enter the Paladin: Using Trust Protectors to Solve Trust Problems</w:t>
      </w:r>
      <w:r w:rsidRPr="0059378C">
        <w:t>.</w:t>
      </w:r>
      <w:r w:rsidRPr="0059378C">
        <w:rPr>
          <w:rStyle w:val="FootnoteReference"/>
        </w:rPr>
        <w:footnoteReference w:id="348"/>
      </w:r>
    </w:p>
    <w:p w14:paraId="5F166EBE" w14:textId="77777777" w:rsidR="003A0665" w:rsidRPr="0059378C" w:rsidRDefault="003A0665" w:rsidP="00561F7C">
      <w:pPr>
        <w:spacing w:line="480" w:lineRule="auto"/>
      </w:pPr>
    </w:p>
    <w:p w14:paraId="7AA35B24" w14:textId="77777777" w:rsidR="003A0665" w:rsidRDefault="003A0665" w:rsidP="00561F7C">
      <w:pPr>
        <w:pStyle w:val="a-1stSubHd"/>
        <w:spacing w:before="0" w:after="0" w:line="480" w:lineRule="auto"/>
      </w:pPr>
      <w:bookmarkStart w:id="122" w:name="_Toc7167222"/>
      <w:bookmarkStart w:id="123" w:name="_Toc31203641"/>
      <w:r w:rsidRPr="0059378C">
        <w:lastRenderedPageBreak/>
        <w:t>IV.  Wrapping Up, Trustee Resignation and Removal</w:t>
      </w:r>
      <w:bookmarkEnd w:id="122"/>
      <w:bookmarkEnd w:id="123"/>
    </w:p>
    <w:p w14:paraId="75D3D8DD" w14:textId="77777777" w:rsidR="003A0665" w:rsidRDefault="003A0665" w:rsidP="00561F7C">
      <w:pPr>
        <w:pStyle w:val="a-2ndSubHd"/>
        <w:spacing w:before="0" w:after="0" w:line="480" w:lineRule="auto"/>
        <w:rPr>
          <w:iCs/>
        </w:rPr>
      </w:pPr>
      <w:bookmarkStart w:id="124" w:name="_Toc7167223"/>
      <w:bookmarkStart w:id="125" w:name="_Toc31203642"/>
      <w:r w:rsidRPr="001618B7">
        <w:t>A.  Trustee Resignation</w:t>
      </w:r>
      <w:bookmarkEnd w:id="124"/>
      <w:bookmarkEnd w:id="125"/>
    </w:p>
    <w:p w14:paraId="5B338122" w14:textId="77777777" w:rsidR="003A0665" w:rsidRPr="001618B7" w:rsidRDefault="003A0665" w:rsidP="00561F7C">
      <w:pPr>
        <w:spacing w:line="480" w:lineRule="auto"/>
      </w:pPr>
    </w:p>
    <w:p w14:paraId="61EDD017" w14:textId="3DC04505" w:rsidR="003A0665" w:rsidRPr="00987D0F" w:rsidRDefault="003A0665" w:rsidP="00561F7C">
      <w:pPr>
        <w:pStyle w:val="b-bodytext"/>
        <w:spacing w:line="480" w:lineRule="auto"/>
      </w:pPr>
      <w:r w:rsidRPr="0059378C">
        <w:t>A trustee may resign in accordance with the terms of the governing trust instrument or by petitioning a court for permission to resign.</w:t>
      </w:r>
      <w:r w:rsidRPr="0059378C">
        <w:rPr>
          <w:rStyle w:val="FootnoteReference"/>
          <w:rFonts w:cs="Times New Roman"/>
        </w:rPr>
        <w:footnoteReference w:id="349"/>
      </w:r>
      <w:r w:rsidRPr="0059378C">
        <w:t xml:space="preserve">  If resigning via court petition and if requested, the court may discharge the trustee on the terms and conditions necessary to protect the rights of other interested </w:t>
      </w:r>
      <w:r w:rsidRPr="00987D0F">
        <w:t>persons.</w:t>
      </w:r>
      <w:r w:rsidRPr="00987D0F">
        <w:rPr>
          <w:rStyle w:val="FootnoteReference"/>
          <w:rFonts w:cs="Times New Roman"/>
        </w:rPr>
        <w:footnoteReference w:id="350"/>
      </w:r>
    </w:p>
    <w:p w14:paraId="7B54DAEB" w14:textId="16576CC5" w:rsidR="003A0665" w:rsidRPr="0059378C" w:rsidRDefault="003A0665" w:rsidP="00561F7C">
      <w:pPr>
        <w:pStyle w:val="b-bodytext"/>
        <w:spacing w:line="480" w:lineRule="auto"/>
      </w:pPr>
      <w:r w:rsidRPr="00987D0F">
        <w:t>To avoid the time and cost associated with a judicial proceeding, it is generally preferable to include a clear resignation procedure in the trust instrument.</w:t>
      </w:r>
      <w:r w:rsidRPr="00987D0F">
        <w:rPr>
          <w:rStyle w:val="FootnoteReference"/>
          <w:rFonts w:cs="Times New Roman"/>
        </w:rPr>
        <w:footnoteReference w:id="351"/>
      </w:r>
      <w:r w:rsidRPr="00987D0F">
        <w:t xml:space="preserve">  However</w:t>
      </w:r>
      <w:r w:rsidRPr="0059378C">
        <w:t>, since a non-judicial resignation does not include the option for a judicial discharge, a savvy trustee may condition such resignation outside of the court on receiving a release agreement signed by the trust beneficiaries.</w:t>
      </w:r>
      <w:r w:rsidRPr="0059378C">
        <w:rPr>
          <w:rStyle w:val="FootnoteReference"/>
          <w:rFonts w:cs="Times New Roman"/>
        </w:rPr>
        <w:footnoteReference w:id="352"/>
      </w:r>
      <w:r w:rsidRPr="0059378C">
        <w:t xml:space="preserve">  The agreement would state that the beneficiaries approve of the trustee</w:t>
      </w:r>
      <w:r w:rsidR="001A6DCB">
        <w:t>’</w:t>
      </w:r>
      <w:r w:rsidRPr="0059378C">
        <w:t>s administration of the trust, dismiss any claims</w:t>
      </w:r>
      <w:r w:rsidR="00A965A9">
        <w:t>,</w:t>
      </w:r>
      <w:r w:rsidRPr="0059378C">
        <w:t xml:space="preserve"> and release the trustee from liability for such trust administration.</w:t>
      </w:r>
      <w:r w:rsidRPr="0059378C">
        <w:rPr>
          <w:rStyle w:val="FootnoteReference"/>
          <w:rFonts w:cs="Times New Roman"/>
        </w:rPr>
        <w:footnoteReference w:id="353"/>
      </w:r>
    </w:p>
    <w:p w14:paraId="015F5E0A" w14:textId="571BC6CA" w:rsidR="003A0665" w:rsidRDefault="003A0665" w:rsidP="00561F7C">
      <w:pPr>
        <w:pStyle w:val="b-bodytext"/>
        <w:spacing w:line="480" w:lineRule="auto"/>
      </w:pPr>
      <w:r w:rsidRPr="0059378C">
        <w:lastRenderedPageBreak/>
        <w:t xml:space="preserve">However, such an agreement is only binding if the beneficiary has legal capacity to sign the instrument, the beneficiary signs the instrument, and the beneficiary </w:t>
      </w:r>
      <w:r w:rsidR="001A6DCB">
        <w:t>“</w:t>
      </w:r>
      <w:r w:rsidRPr="0059378C">
        <w:t>has full knowledge of the circumstances surrounding the agreement.</w:t>
      </w:r>
      <w:r w:rsidR="001A6DCB">
        <w:t>”</w:t>
      </w:r>
      <w:r w:rsidRPr="0059378C">
        <w:rPr>
          <w:rStyle w:val="FootnoteReference"/>
          <w:rFonts w:cs="Times New Roman"/>
        </w:rPr>
        <w:footnoteReference w:id="354"/>
      </w:r>
      <w:r w:rsidRPr="0059378C">
        <w:t xml:space="preserve">  Therefore, it is important that any release agreement provide a full description of any significant trustee actions or inactions taken during administration.</w:t>
      </w:r>
      <w:r w:rsidRPr="0059378C">
        <w:rPr>
          <w:rStyle w:val="FootnoteReference"/>
          <w:rFonts w:cs="Times New Roman"/>
        </w:rPr>
        <w:footnoteReference w:id="355"/>
      </w:r>
      <w:r w:rsidRPr="0059378C">
        <w:t xml:space="preserve">  Release agreements also often include language similar to the following:</w:t>
      </w:r>
    </w:p>
    <w:p w14:paraId="5FA62114" w14:textId="77777777" w:rsidR="00855402" w:rsidRPr="0059378C" w:rsidRDefault="00855402" w:rsidP="00561F7C">
      <w:pPr>
        <w:pStyle w:val="b-bodytext"/>
        <w:spacing w:line="480" w:lineRule="auto"/>
      </w:pPr>
    </w:p>
    <w:tbl>
      <w:tblPr>
        <w:tblStyle w:val="TableGrid"/>
        <w:tblW w:w="0" w:type="auto"/>
        <w:jc w:val="center"/>
        <w:shd w:val="pct5" w:color="auto" w:fill="auto"/>
        <w:tblLook w:val="04A0" w:firstRow="1" w:lastRow="0" w:firstColumn="1" w:lastColumn="0" w:noHBand="0" w:noVBand="1"/>
      </w:tblPr>
      <w:tblGrid>
        <w:gridCol w:w="6710"/>
      </w:tblGrid>
      <w:tr w:rsidR="003A0665" w:rsidRPr="0059378C" w14:paraId="28042501" w14:textId="77777777" w:rsidTr="00D3595A">
        <w:trPr>
          <w:jc w:val="center"/>
        </w:trPr>
        <w:tc>
          <w:tcPr>
            <w:tcW w:w="7349" w:type="dxa"/>
            <w:shd w:val="pct5" w:color="auto" w:fill="auto"/>
          </w:tcPr>
          <w:p w14:paraId="42A75211" w14:textId="77777777" w:rsidR="003A0665" w:rsidRPr="00855402" w:rsidRDefault="003A0665" w:rsidP="00561F7C">
            <w:pPr>
              <w:pStyle w:val="ListParagraph"/>
              <w:widowControl w:val="0"/>
              <w:autoSpaceDE w:val="0"/>
              <w:autoSpaceDN w:val="0"/>
              <w:adjustRightInd w:val="0"/>
              <w:spacing w:line="480" w:lineRule="auto"/>
              <w:ind w:left="0"/>
              <w:contextualSpacing w:val="0"/>
              <w:jc w:val="both"/>
              <w:rPr>
                <w:rFonts w:ascii="Times New Roman" w:hAnsi="Times New Roman" w:cs="Times New Roman"/>
                <w:sz w:val="22"/>
                <w:szCs w:val="22"/>
              </w:rPr>
            </w:pPr>
            <w:r w:rsidRPr="00855402">
              <w:rPr>
                <w:rFonts w:ascii="Times New Roman" w:hAnsi="Times New Roman" w:cs="Times New Roman"/>
                <w:sz w:val="22"/>
                <w:szCs w:val="22"/>
              </w:rPr>
              <w:t xml:space="preserve">Each Party, for himself or herself and on behalf of its, his or her Affiliates, expressly acknowledges, warrants and represents: . . . (ii) that to his or her best knowledge and belief, the Trustee has made full and complete disclosure to him or her of all material facts and information in the possession of the Trustee with respect to the Trust and the Transactions; (iii) that each Beneficiary has received monthly account statements from the Trustee and, to the extent requested and to his or her best knowledge and belief, he or she has had access to the books, records and other materials relating to the Trust (including all such materials relating to the Transactions which he or she has requested before executing this Agreement), has examined such books, records and materials or caused </w:t>
            </w:r>
            <w:r w:rsidRPr="00855402">
              <w:rPr>
                <w:rFonts w:ascii="Times New Roman" w:hAnsi="Times New Roman" w:cs="Times New Roman"/>
                <w:sz w:val="22"/>
                <w:szCs w:val="22"/>
              </w:rPr>
              <w:lastRenderedPageBreak/>
              <w:t>them to be examined on his or her behalf or has had the opportunity to do so, and as a result, he or she is in all respects thoroughly familiar with the Transactions as disclosed by such books, records and materials.</w:t>
            </w:r>
          </w:p>
        </w:tc>
      </w:tr>
    </w:tbl>
    <w:p w14:paraId="420C599A" w14:textId="77777777" w:rsidR="003A0665" w:rsidRPr="0059378C" w:rsidRDefault="003A0665" w:rsidP="00561F7C">
      <w:pPr>
        <w:pStyle w:val="ListParagraph"/>
        <w:widowControl w:val="0"/>
        <w:autoSpaceDE w:val="0"/>
        <w:autoSpaceDN w:val="0"/>
        <w:adjustRightInd w:val="0"/>
        <w:spacing w:line="480" w:lineRule="auto"/>
        <w:ind w:left="0"/>
        <w:contextualSpacing w:val="0"/>
        <w:rPr>
          <w:rFonts w:cs="Times New Roman"/>
        </w:rPr>
      </w:pPr>
    </w:p>
    <w:p w14:paraId="6ED6324C" w14:textId="77777777" w:rsidR="003A0665" w:rsidRPr="0059378C" w:rsidRDefault="003A0665" w:rsidP="00561F7C">
      <w:pPr>
        <w:pStyle w:val="b-bodytext"/>
        <w:spacing w:line="480" w:lineRule="auto"/>
        <w:ind w:firstLine="0"/>
      </w:pPr>
      <w:r w:rsidRPr="0059378C">
        <w:t>If a trust has a minor beneficiary, a written release agreement will nevertheless be final and binding on such minor beneficiary if:</w:t>
      </w:r>
    </w:p>
    <w:p w14:paraId="2A548725" w14:textId="44231CB7" w:rsidR="003A0665" w:rsidRPr="0059378C" w:rsidRDefault="003A0665" w:rsidP="00561F7C">
      <w:pPr>
        <w:pStyle w:val="b-bodytext"/>
        <w:tabs>
          <w:tab w:val="left" w:pos="900"/>
        </w:tabs>
        <w:spacing w:line="480" w:lineRule="auto"/>
      </w:pPr>
      <w:r w:rsidRPr="0059378C">
        <w:t>(1)</w:t>
      </w:r>
      <w:r w:rsidR="00855402">
        <w:tab/>
      </w:r>
      <w:r w:rsidRPr="0059378C">
        <w:t>the minor</w:t>
      </w:r>
      <w:r w:rsidR="001A6DCB">
        <w:t>’</w:t>
      </w:r>
      <w:r w:rsidRPr="0059378C">
        <w:t xml:space="preserve">s parent, including a parent who is also a trust </w:t>
      </w:r>
      <w:r w:rsidR="00855402">
        <w:tab/>
      </w:r>
      <w:r w:rsidR="00855402">
        <w:tab/>
      </w:r>
      <w:r w:rsidR="00855402">
        <w:tab/>
      </w:r>
      <w:r w:rsidRPr="0059378C">
        <w:t>beneficiary, signs the instrument on behalf of the minor;</w:t>
      </w:r>
    </w:p>
    <w:p w14:paraId="07D161E6" w14:textId="4E94540F" w:rsidR="003A0665" w:rsidRPr="0059378C" w:rsidRDefault="003A0665" w:rsidP="00561F7C">
      <w:pPr>
        <w:pStyle w:val="b-bodytext"/>
        <w:tabs>
          <w:tab w:val="left" w:pos="900"/>
        </w:tabs>
        <w:spacing w:line="480" w:lineRule="auto"/>
      </w:pPr>
      <w:r w:rsidRPr="0059378C">
        <w:t>(2)</w:t>
      </w:r>
      <w:r w:rsidR="00855402">
        <w:tab/>
      </w:r>
      <w:r w:rsidRPr="0059378C">
        <w:t>no conflict of interest exists; and</w:t>
      </w:r>
    </w:p>
    <w:p w14:paraId="06A564AA" w14:textId="26938724" w:rsidR="003A0665" w:rsidRPr="0059378C" w:rsidRDefault="003A0665" w:rsidP="00561F7C">
      <w:pPr>
        <w:pStyle w:val="b-bodytext"/>
        <w:tabs>
          <w:tab w:val="left" w:pos="900"/>
        </w:tabs>
        <w:spacing w:line="480" w:lineRule="auto"/>
      </w:pPr>
      <w:r w:rsidRPr="0059378C">
        <w:t>(3)</w:t>
      </w:r>
      <w:r w:rsidR="00855402">
        <w:tab/>
      </w:r>
      <w:r w:rsidRPr="0059378C">
        <w:t xml:space="preserve">no guardian, including a guardian ad litem, has been appointed to </w:t>
      </w:r>
      <w:r w:rsidR="00855402">
        <w:tab/>
      </w:r>
      <w:r w:rsidR="00855402">
        <w:tab/>
      </w:r>
      <w:r w:rsidRPr="0059378C">
        <w:t>act on behalf of the minor.</w:t>
      </w:r>
      <w:r w:rsidRPr="0059378C">
        <w:rPr>
          <w:rStyle w:val="FootnoteReference"/>
        </w:rPr>
        <w:footnoteReference w:id="356"/>
      </w:r>
    </w:p>
    <w:p w14:paraId="12137267" w14:textId="5E98AFFA" w:rsidR="003A0665" w:rsidRPr="0059378C" w:rsidRDefault="003A0665" w:rsidP="00561F7C">
      <w:pPr>
        <w:pStyle w:val="b-bodytext"/>
        <w:spacing w:line="480" w:lineRule="auto"/>
      </w:pPr>
      <w:r w:rsidRPr="0059378C">
        <w:t xml:space="preserve">Similarly, unborn or unascertained beneficiaries are bound by such an agreement if a beneficiary from whom such unborn or unascertained beneficiary descends has a </w:t>
      </w:r>
      <w:r w:rsidR="001A6DCB">
        <w:t>“</w:t>
      </w:r>
      <w:r w:rsidRPr="0059378C">
        <w:t>substantially identical</w:t>
      </w:r>
      <w:r w:rsidR="001A6DCB">
        <w:t>”</w:t>
      </w:r>
      <w:r w:rsidRPr="0059378C">
        <w:t xml:space="preserve"> interest and signs the agreement.</w:t>
      </w:r>
      <w:r w:rsidRPr="0059378C">
        <w:rPr>
          <w:rStyle w:val="FootnoteReference"/>
          <w:rFonts w:cs="Times New Roman"/>
        </w:rPr>
        <w:footnoteReference w:id="357"/>
      </w:r>
    </w:p>
    <w:p w14:paraId="0F188614" w14:textId="4A91B0F0" w:rsidR="003A0665" w:rsidRPr="0059378C" w:rsidRDefault="003A0665" w:rsidP="00561F7C">
      <w:pPr>
        <w:pStyle w:val="b-bodytext"/>
        <w:spacing w:line="480" w:lineRule="auto"/>
      </w:pPr>
      <w:r w:rsidRPr="0059378C">
        <w:t>Additionally, many corporate trustees and some individual trustees, at least initially, request indemnification from trust beneficiaries in a non</w:t>
      </w:r>
      <w:r w:rsidR="00855402">
        <w:noBreakHyphen/>
      </w:r>
      <w:r w:rsidRPr="0059378C">
        <w:t>judicial resignation, which is more protection than such trustees could receive in a judicial discharge.</w:t>
      </w:r>
      <w:r w:rsidRPr="0059378C">
        <w:rPr>
          <w:rStyle w:val="FootnoteReference"/>
          <w:rFonts w:cs="Times New Roman"/>
        </w:rPr>
        <w:footnoteReference w:id="358"/>
      </w:r>
    </w:p>
    <w:p w14:paraId="3ADC6AA2" w14:textId="2236F9B5" w:rsidR="003A0665" w:rsidRDefault="003A0665" w:rsidP="00561F7C">
      <w:pPr>
        <w:pStyle w:val="b-bodytext"/>
        <w:spacing w:line="480" w:lineRule="auto"/>
      </w:pPr>
      <w:r w:rsidRPr="0059378C">
        <w:lastRenderedPageBreak/>
        <w:t>If a trust agreement provides for non-judicial resignation, but a trustee nevertheless desires a judicial resignation and discharge, a dispute can arise as to whether the trustee can be reimbursed for the cost of such judicial resignation and discharge.</w:t>
      </w:r>
      <w:r w:rsidRPr="0059378C">
        <w:rPr>
          <w:rStyle w:val="FootnoteReference"/>
          <w:rFonts w:cs="Times New Roman"/>
        </w:rPr>
        <w:footnoteReference w:id="359"/>
      </w:r>
    </w:p>
    <w:p w14:paraId="34F399A0" w14:textId="321662E8" w:rsidR="003A0665" w:rsidRDefault="003A0665" w:rsidP="00561F7C">
      <w:pPr>
        <w:pStyle w:val="b-bodytext"/>
        <w:spacing w:line="480" w:lineRule="auto"/>
      </w:pPr>
      <w:r w:rsidRPr="0059378C">
        <w:t>To avoid such potential conflict, the trust instrument may clarify the resigning trustee</w:t>
      </w:r>
      <w:r w:rsidR="001A6DCB">
        <w:t>’</w:t>
      </w:r>
      <w:r w:rsidRPr="0059378C">
        <w:t>s right to seek a judicial discharge by expressly authorizing it in the trust instrument and specifying whether expenses incurred in connection with such judicial discharge should be borne by the resigning trustee or the trust.</w:t>
      </w:r>
      <w:r w:rsidRPr="0059378C">
        <w:rPr>
          <w:rStyle w:val="FootnoteReference"/>
          <w:rFonts w:cs="Times New Roman"/>
        </w:rPr>
        <w:footnoteReference w:id="360"/>
      </w:r>
    </w:p>
    <w:p w14:paraId="0002EA15" w14:textId="77777777" w:rsidR="003A0665" w:rsidRDefault="003A0665" w:rsidP="00561F7C">
      <w:pPr>
        <w:pStyle w:val="a-2ndSubHd"/>
        <w:spacing w:line="480" w:lineRule="auto"/>
        <w:rPr>
          <w:iCs/>
        </w:rPr>
      </w:pPr>
      <w:bookmarkStart w:id="126" w:name="_Toc7167224"/>
      <w:bookmarkStart w:id="127" w:name="_Toc31203643"/>
      <w:r w:rsidRPr="001618B7">
        <w:t>B.  Trustee Removal</w:t>
      </w:r>
      <w:bookmarkEnd w:id="126"/>
      <w:bookmarkEnd w:id="127"/>
    </w:p>
    <w:p w14:paraId="064B9AEE" w14:textId="439227FD" w:rsidR="003A0665" w:rsidRDefault="003A0665" w:rsidP="00561F7C">
      <w:pPr>
        <w:pStyle w:val="b-bodytext"/>
        <w:spacing w:line="480" w:lineRule="auto"/>
      </w:pPr>
      <w:r w:rsidRPr="0059378C">
        <w:t>As with resignation, trustee removal can take place in or out of the courtroom.</w:t>
      </w:r>
      <w:r w:rsidRPr="0059378C">
        <w:rPr>
          <w:rStyle w:val="FootnoteReference"/>
        </w:rPr>
        <w:footnoteReference w:id="361"/>
      </w:r>
      <w:r w:rsidRPr="0059378C">
        <w:t xml:space="preserve"> </w:t>
      </w:r>
      <w:r w:rsidR="00855402">
        <w:t> </w:t>
      </w:r>
      <w:r w:rsidRPr="0059378C">
        <w:t>This power to remove a trustee can be a vital tool when creating a balance between the powers of the trustee and protection of the beneficiaries as discussed further below.</w:t>
      </w:r>
      <w:r w:rsidRPr="0059378C">
        <w:rPr>
          <w:rStyle w:val="FootnoteReference"/>
        </w:rPr>
        <w:footnoteReference w:id="362"/>
      </w:r>
      <w:r w:rsidRPr="0059378C">
        <w:t xml:space="preserve"> </w:t>
      </w:r>
      <w:r w:rsidR="00855402">
        <w:t> </w:t>
      </w:r>
      <w:r w:rsidRPr="0059378C">
        <w:t>It also allows a settlor to expressly provide when the removal rights should be broader or more restrictive than the statutory grounds.</w:t>
      </w:r>
      <w:r w:rsidRPr="0059378C">
        <w:rPr>
          <w:rStyle w:val="FootnoteReference"/>
        </w:rPr>
        <w:footnoteReference w:id="363"/>
      </w:r>
    </w:p>
    <w:p w14:paraId="5396F529" w14:textId="01971347" w:rsidR="003A0665" w:rsidRPr="0059378C" w:rsidRDefault="003A0665" w:rsidP="00561F7C">
      <w:pPr>
        <w:pStyle w:val="b-bodytext"/>
        <w:spacing w:line="480" w:lineRule="auto"/>
      </w:pPr>
      <w:r w:rsidRPr="0059378C">
        <w:lastRenderedPageBreak/>
        <w:t>If the option for non-judicial removal is desired, the trust instrument should include clear provisions on when and why a trustee may be removed.</w:t>
      </w:r>
      <w:r w:rsidRPr="0059378C">
        <w:rPr>
          <w:rStyle w:val="FootnoteReference"/>
        </w:rPr>
        <w:footnoteReference w:id="364"/>
      </w:r>
      <w:r w:rsidRPr="0059378C">
        <w:t xml:space="preserve">  For example, whether removal may take place with or without cause, with or without advance notice to the trustee being removed, and whether it can occur as desired or limited to taking place once every set number of years.</w:t>
      </w:r>
      <w:r w:rsidRPr="0059378C">
        <w:rPr>
          <w:rStyle w:val="FootnoteReference"/>
        </w:rPr>
        <w:footnoteReference w:id="365"/>
      </w:r>
    </w:p>
    <w:p w14:paraId="6148181F" w14:textId="1BCB44F1" w:rsidR="003A0665" w:rsidRPr="0059378C" w:rsidRDefault="003A0665" w:rsidP="00561F7C">
      <w:pPr>
        <w:pStyle w:val="b-bodytext"/>
        <w:spacing w:line="480" w:lineRule="auto"/>
      </w:pPr>
      <w:r w:rsidRPr="0059378C">
        <w:t>In the absence of a removal right under the trust instrument, the beneficiary (or other interested person) will be forced to seek removal under the Texas Trust Code.</w:t>
      </w:r>
      <w:r w:rsidRPr="0059378C">
        <w:rPr>
          <w:rStyle w:val="FootnoteReference"/>
        </w:rPr>
        <w:footnoteReference w:id="366"/>
      </w:r>
      <w:r w:rsidRPr="0059378C">
        <w:t xml:space="preserve">  This can be a long and expensive process if the trustee refuses to resign and forces a judicial removal.</w:t>
      </w:r>
      <w:r w:rsidRPr="0059378C">
        <w:rPr>
          <w:rStyle w:val="FootnoteReference"/>
        </w:rPr>
        <w:footnoteReference w:id="367"/>
      </w:r>
      <w:r w:rsidRPr="0059378C">
        <w:t xml:space="preserve">  It also limits the grounds for removal, and a beneficiary cannot remove a trustee because of hostility or ill will between them.</w:t>
      </w:r>
      <w:r w:rsidRPr="0059378C">
        <w:rPr>
          <w:rStyle w:val="FootnoteReference"/>
        </w:rPr>
        <w:footnoteReference w:id="368"/>
      </w:r>
    </w:p>
    <w:p w14:paraId="25D246EA" w14:textId="6020833A" w:rsidR="003A0665" w:rsidRPr="0059378C" w:rsidRDefault="003A0665" w:rsidP="00561F7C">
      <w:pPr>
        <w:pStyle w:val="b-bodytext"/>
        <w:spacing w:line="480" w:lineRule="auto"/>
      </w:pPr>
      <w:r w:rsidRPr="0059378C">
        <w:t>Texas Trust Code Section 113.082 provides that a trustee may be removed upon the petition of an interested person if:</w:t>
      </w:r>
    </w:p>
    <w:p w14:paraId="0EF736D5" w14:textId="507DC59F" w:rsidR="003A0665" w:rsidRPr="0014127B" w:rsidRDefault="003A0665" w:rsidP="00561F7C">
      <w:pPr>
        <w:pStyle w:val="b-bodytext"/>
        <w:tabs>
          <w:tab w:val="left" w:pos="900"/>
        </w:tabs>
        <w:spacing w:line="480" w:lineRule="auto"/>
        <w:rPr>
          <w:sz w:val="20"/>
          <w:szCs w:val="20"/>
        </w:rPr>
      </w:pPr>
      <w:r w:rsidRPr="0014127B">
        <w:rPr>
          <w:sz w:val="20"/>
          <w:szCs w:val="20"/>
        </w:rPr>
        <w:t>(1)</w:t>
      </w:r>
      <w:r w:rsidR="00855402" w:rsidRPr="0014127B">
        <w:rPr>
          <w:sz w:val="20"/>
          <w:szCs w:val="20"/>
        </w:rPr>
        <w:tab/>
      </w:r>
      <w:r w:rsidRPr="0014127B">
        <w:rPr>
          <w:sz w:val="20"/>
          <w:szCs w:val="20"/>
        </w:rPr>
        <w:t xml:space="preserve">the trustee materially violated or attempted to violate the terms of </w:t>
      </w:r>
      <w:r w:rsidR="00855402" w:rsidRPr="0014127B">
        <w:rPr>
          <w:sz w:val="20"/>
          <w:szCs w:val="20"/>
        </w:rPr>
        <w:tab/>
      </w:r>
      <w:r w:rsidR="00855402" w:rsidRPr="0014127B">
        <w:rPr>
          <w:sz w:val="20"/>
          <w:szCs w:val="20"/>
        </w:rPr>
        <w:tab/>
      </w:r>
      <w:r w:rsidRPr="0014127B">
        <w:rPr>
          <w:sz w:val="20"/>
          <w:szCs w:val="20"/>
        </w:rPr>
        <w:t xml:space="preserve">the trust and the violation or attempted violation results in a </w:t>
      </w:r>
      <w:r w:rsidR="00855402" w:rsidRPr="0014127B">
        <w:rPr>
          <w:sz w:val="20"/>
          <w:szCs w:val="20"/>
        </w:rPr>
        <w:tab/>
      </w:r>
      <w:r w:rsidR="00855402" w:rsidRPr="0014127B">
        <w:rPr>
          <w:sz w:val="20"/>
          <w:szCs w:val="20"/>
        </w:rPr>
        <w:tab/>
      </w:r>
      <w:r w:rsidR="00855402" w:rsidRPr="0014127B">
        <w:rPr>
          <w:sz w:val="20"/>
          <w:szCs w:val="20"/>
        </w:rPr>
        <w:tab/>
      </w:r>
      <w:r w:rsidRPr="0014127B">
        <w:rPr>
          <w:sz w:val="20"/>
          <w:szCs w:val="20"/>
        </w:rPr>
        <w:t>material financial loss to the trust;</w:t>
      </w:r>
    </w:p>
    <w:p w14:paraId="3CFF4938" w14:textId="49503903" w:rsidR="003A0665" w:rsidRPr="0014127B" w:rsidRDefault="003A0665" w:rsidP="00561F7C">
      <w:pPr>
        <w:pStyle w:val="b-bodytext"/>
        <w:tabs>
          <w:tab w:val="left" w:pos="900"/>
        </w:tabs>
        <w:spacing w:line="480" w:lineRule="auto"/>
        <w:rPr>
          <w:sz w:val="20"/>
          <w:szCs w:val="20"/>
        </w:rPr>
      </w:pPr>
      <w:r w:rsidRPr="0014127B">
        <w:rPr>
          <w:sz w:val="20"/>
          <w:szCs w:val="20"/>
        </w:rPr>
        <w:lastRenderedPageBreak/>
        <w:t>(2)</w:t>
      </w:r>
      <w:r w:rsidR="00855402" w:rsidRPr="0014127B">
        <w:rPr>
          <w:sz w:val="20"/>
          <w:szCs w:val="20"/>
        </w:rPr>
        <w:tab/>
      </w:r>
      <w:r w:rsidRPr="0014127B">
        <w:rPr>
          <w:sz w:val="20"/>
          <w:szCs w:val="20"/>
        </w:rPr>
        <w:t>the trustee becomes incapacitated or insolvent;</w:t>
      </w:r>
    </w:p>
    <w:p w14:paraId="28A8B9E5" w14:textId="747F55AC" w:rsidR="003A0665" w:rsidRPr="0014127B" w:rsidRDefault="003A0665" w:rsidP="00561F7C">
      <w:pPr>
        <w:pStyle w:val="b-bodytext"/>
        <w:tabs>
          <w:tab w:val="left" w:pos="900"/>
        </w:tabs>
        <w:spacing w:line="480" w:lineRule="auto"/>
        <w:rPr>
          <w:sz w:val="20"/>
          <w:szCs w:val="20"/>
        </w:rPr>
      </w:pPr>
      <w:r w:rsidRPr="0014127B">
        <w:rPr>
          <w:sz w:val="20"/>
          <w:szCs w:val="20"/>
        </w:rPr>
        <w:t>(3)</w:t>
      </w:r>
      <w:r w:rsidR="00855402" w:rsidRPr="0014127B">
        <w:rPr>
          <w:sz w:val="20"/>
          <w:szCs w:val="20"/>
        </w:rPr>
        <w:tab/>
      </w:r>
      <w:r w:rsidRPr="0014127B">
        <w:rPr>
          <w:sz w:val="20"/>
          <w:szCs w:val="20"/>
        </w:rPr>
        <w:t xml:space="preserve">the trustee fails to make an accounting that is required by law or </w:t>
      </w:r>
      <w:r w:rsidR="00855402" w:rsidRPr="0014127B">
        <w:rPr>
          <w:sz w:val="20"/>
          <w:szCs w:val="20"/>
        </w:rPr>
        <w:tab/>
      </w:r>
      <w:r w:rsidR="00855402" w:rsidRPr="0014127B">
        <w:rPr>
          <w:sz w:val="20"/>
          <w:szCs w:val="20"/>
        </w:rPr>
        <w:tab/>
      </w:r>
      <w:r w:rsidRPr="0014127B">
        <w:rPr>
          <w:sz w:val="20"/>
          <w:szCs w:val="20"/>
        </w:rPr>
        <w:t>by the terms of the trust; or</w:t>
      </w:r>
    </w:p>
    <w:p w14:paraId="76E5A2FF" w14:textId="5FE8A8F3" w:rsidR="00855402" w:rsidRPr="0014127B" w:rsidRDefault="003A0665" w:rsidP="00561F7C">
      <w:pPr>
        <w:pStyle w:val="b-bodytext"/>
        <w:tabs>
          <w:tab w:val="left" w:pos="900"/>
        </w:tabs>
        <w:spacing w:line="480" w:lineRule="auto"/>
        <w:rPr>
          <w:sz w:val="20"/>
          <w:szCs w:val="20"/>
        </w:rPr>
      </w:pPr>
      <w:r w:rsidRPr="0014127B">
        <w:rPr>
          <w:sz w:val="20"/>
          <w:szCs w:val="20"/>
        </w:rPr>
        <w:t>(4)</w:t>
      </w:r>
      <w:r w:rsidR="00855402" w:rsidRPr="0014127B">
        <w:rPr>
          <w:sz w:val="20"/>
          <w:szCs w:val="20"/>
        </w:rPr>
        <w:tab/>
      </w:r>
      <w:r w:rsidRPr="0014127B">
        <w:rPr>
          <w:sz w:val="20"/>
          <w:szCs w:val="20"/>
        </w:rPr>
        <w:t>the court finds other cause for removal.</w:t>
      </w:r>
      <w:r w:rsidRPr="0014127B">
        <w:rPr>
          <w:rStyle w:val="FootnoteReference"/>
          <w:sz w:val="20"/>
          <w:szCs w:val="20"/>
        </w:rPr>
        <w:footnoteReference w:id="369"/>
      </w:r>
    </w:p>
    <w:p w14:paraId="0AD18186" w14:textId="55721E1C" w:rsidR="00855402" w:rsidRPr="0059378C" w:rsidRDefault="00855402" w:rsidP="00561F7C">
      <w:pPr>
        <w:pStyle w:val="a-2ndSubHd"/>
        <w:spacing w:line="480" w:lineRule="auto"/>
      </w:pPr>
      <w:bookmarkStart w:id="128" w:name="_Toc31203644"/>
      <w:r>
        <w:t>C.  Balance Between Trustee and Beneficiary</w:t>
      </w:r>
      <w:bookmarkEnd w:id="128"/>
    </w:p>
    <w:p w14:paraId="7B653555" w14:textId="5841508C" w:rsidR="003A0665" w:rsidRPr="0059378C" w:rsidRDefault="003A0665" w:rsidP="00561F7C">
      <w:pPr>
        <w:pStyle w:val="b-bodytext"/>
        <w:spacing w:line="480" w:lineRule="auto"/>
      </w:pPr>
      <w:r w:rsidRPr="00855402">
        <w:t>I</w:t>
      </w:r>
      <w:r w:rsidRPr="0059378C">
        <w:t>n addition to these specified statutory grounds, a court may remove a trustee on any grounds that the court considers necessary and proper.</w:t>
      </w:r>
      <w:r w:rsidRPr="0059378C">
        <w:rPr>
          <w:rStyle w:val="FootnoteReference"/>
        </w:rPr>
        <w:footnoteReference w:id="370"/>
      </w:r>
      <w:r w:rsidRPr="0059378C">
        <w:t xml:space="preserve"> </w:t>
      </w:r>
      <w:r w:rsidR="00855402">
        <w:t> </w:t>
      </w:r>
      <w:r w:rsidRPr="0059378C">
        <w:t>For example, lack of business experience has been considered on the question of the removal of a trustee.</w:t>
      </w:r>
      <w:r w:rsidRPr="0059378C">
        <w:rPr>
          <w:rStyle w:val="FootnoteReference"/>
        </w:rPr>
        <w:footnoteReference w:id="371"/>
      </w:r>
      <w:r w:rsidRPr="0059378C">
        <w:t xml:space="preserve">  The burden of proof is on the party who seeks to remove a trustee for dereliction of duty.</w:t>
      </w:r>
      <w:r w:rsidRPr="0059378C">
        <w:rPr>
          <w:rStyle w:val="FootnoteReference"/>
        </w:rPr>
        <w:footnoteReference w:id="372"/>
      </w:r>
    </w:p>
    <w:p w14:paraId="71D7CEA5" w14:textId="26D19A4D" w:rsidR="003A0665" w:rsidRPr="0059378C" w:rsidRDefault="003A0665" w:rsidP="00561F7C">
      <w:pPr>
        <w:pStyle w:val="b-bodytext"/>
        <w:spacing w:line="480" w:lineRule="auto"/>
      </w:pPr>
      <w:r w:rsidRPr="0059378C">
        <w:t>The ability to remove a trustee without court intervention must be balanced with the desire for the trustee to serve as an independent gatekeeper.</w:t>
      </w:r>
      <w:r w:rsidRPr="0059378C">
        <w:rPr>
          <w:rStyle w:val="FootnoteReference"/>
        </w:rPr>
        <w:footnoteReference w:id="373"/>
      </w:r>
    </w:p>
    <w:p w14:paraId="7F1F8041" w14:textId="52193930" w:rsidR="003A0665" w:rsidRPr="0059378C" w:rsidRDefault="003A0665" w:rsidP="00561F7C">
      <w:pPr>
        <w:pStyle w:val="b-bodytext"/>
        <w:spacing w:line="480" w:lineRule="auto"/>
      </w:pPr>
      <w:r w:rsidRPr="0059378C">
        <w:t>The following are some considerations when drafting removal provisions:</w:t>
      </w:r>
    </w:p>
    <w:p w14:paraId="0068C4AB" w14:textId="0EBCAE04" w:rsidR="001316D0" w:rsidRPr="0014127B" w:rsidRDefault="003A0665" w:rsidP="0014127B">
      <w:pPr>
        <w:pStyle w:val="b-bodytext"/>
        <w:numPr>
          <w:ilvl w:val="0"/>
          <w:numId w:val="12"/>
        </w:numPr>
        <w:tabs>
          <w:tab w:val="clear" w:pos="440"/>
        </w:tabs>
        <w:spacing w:line="480" w:lineRule="auto"/>
        <w:ind w:left="1170" w:right="690" w:hanging="450"/>
        <w:rPr>
          <w:sz w:val="20"/>
          <w:szCs w:val="20"/>
        </w:rPr>
      </w:pPr>
      <w:r w:rsidRPr="0014127B">
        <w:rPr>
          <w:sz w:val="20"/>
          <w:szCs w:val="20"/>
        </w:rPr>
        <w:lastRenderedPageBreak/>
        <w:t xml:space="preserve">Whether there should be a limit on when and how often a trustee may be removed, </w:t>
      </w:r>
      <w:r w:rsidRPr="0014127B">
        <w:rPr>
          <w:i/>
          <w:sz w:val="20"/>
          <w:szCs w:val="20"/>
        </w:rPr>
        <w:t>i.e.</w:t>
      </w:r>
      <w:r w:rsidRPr="0014127B">
        <w:rPr>
          <w:sz w:val="20"/>
          <w:szCs w:val="20"/>
        </w:rPr>
        <w:t xml:space="preserve">, not for 2 years after funding, only once every 2 years, </w:t>
      </w:r>
      <w:proofErr w:type="gramStart"/>
      <w:r w:rsidRPr="0014127B">
        <w:rPr>
          <w:sz w:val="20"/>
          <w:szCs w:val="20"/>
        </w:rPr>
        <w:t>etc.;</w:t>
      </w:r>
      <w:proofErr w:type="gramEnd"/>
    </w:p>
    <w:p w14:paraId="57FC1FA7" w14:textId="09DFB767" w:rsidR="001316D0" w:rsidRPr="0014127B" w:rsidRDefault="003A0665" w:rsidP="0014127B">
      <w:pPr>
        <w:pStyle w:val="b-bodytext"/>
        <w:numPr>
          <w:ilvl w:val="0"/>
          <w:numId w:val="12"/>
        </w:numPr>
        <w:tabs>
          <w:tab w:val="clear" w:pos="440"/>
        </w:tabs>
        <w:spacing w:line="480" w:lineRule="auto"/>
        <w:ind w:left="1170" w:right="690" w:hanging="450"/>
        <w:rPr>
          <w:sz w:val="20"/>
          <w:szCs w:val="20"/>
        </w:rPr>
      </w:pPr>
      <w:r w:rsidRPr="0014127B">
        <w:rPr>
          <w:sz w:val="20"/>
          <w:szCs w:val="20"/>
        </w:rPr>
        <w:t xml:space="preserve">Whether a corporate trustee may only be removed if a successor corporate trustee is appointed in its </w:t>
      </w:r>
      <w:proofErr w:type="gramStart"/>
      <w:r w:rsidRPr="0014127B">
        <w:rPr>
          <w:sz w:val="20"/>
          <w:szCs w:val="20"/>
        </w:rPr>
        <w:t>place;</w:t>
      </w:r>
      <w:proofErr w:type="gramEnd"/>
    </w:p>
    <w:p w14:paraId="16EA3015" w14:textId="68CF1EC9" w:rsidR="001316D0" w:rsidRPr="0014127B" w:rsidRDefault="003A0665" w:rsidP="0014127B">
      <w:pPr>
        <w:pStyle w:val="b-bodytext"/>
        <w:numPr>
          <w:ilvl w:val="0"/>
          <w:numId w:val="12"/>
        </w:numPr>
        <w:tabs>
          <w:tab w:val="clear" w:pos="440"/>
        </w:tabs>
        <w:spacing w:line="480" w:lineRule="auto"/>
        <w:ind w:left="1170" w:right="690" w:hanging="450"/>
        <w:rPr>
          <w:sz w:val="20"/>
          <w:szCs w:val="20"/>
        </w:rPr>
      </w:pPr>
      <w:r w:rsidRPr="0014127B">
        <w:rPr>
          <w:sz w:val="20"/>
          <w:szCs w:val="20"/>
        </w:rPr>
        <w:t xml:space="preserve">Whether the removal right should be limited to an independent trust protector or third </w:t>
      </w:r>
      <w:proofErr w:type="gramStart"/>
      <w:r w:rsidRPr="0014127B">
        <w:rPr>
          <w:sz w:val="20"/>
          <w:szCs w:val="20"/>
        </w:rPr>
        <w:t>persons;</w:t>
      </w:r>
      <w:proofErr w:type="gramEnd"/>
    </w:p>
    <w:p w14:paraId="6DC4E1F7" w14:textId="35F27F47" w:rsidR="001316D0" w:rsidRPr="0014127B" w:rsidRDefault="003A0665" w:rsidP="0014127B">
      <w:pPr>
        <w:pStyle w:val="b-bodytext"/>
        <w:numPr>
          <w:ilvl w:val="0"/>
          <w:numId w:val="12"/>
        </w:numPr>
        <w:tabs>
          <w:tab w:val="clear" w:pos="440"/>
        </w:tabs>
        <w:spacing w:line="480" w:lineRule="auto"/>
        <w:ind w:left="1170" w:right="690" w:hanging="450"/>
        <w:rPr>
          <w:sz w:val="20"/>
          <w:szCs w:val="20"/>
        </w:rPr>
      </w:pPr>
      <w:r w:rsidRPr="0014127B">
        <w:rPr>
          <w:sz w:val="20"/>
          <w:szCs w:val="20"/>
        </w:rPr>
        <w:t>Whether a trustee</w:t>
      </w:r>
      <w:r w:rsidR="001A6DCB" w:rsidRPr="0014127B">
        <w:rPr>
          <w:sz w:val="20"/>
          <w:szCs w:val="20"/>
        </w:rPr>
        <w:t>’</w:t>
      </w:r>
      <w:r w:rsidRPr="0014127B">
        <w:rPr>
          <w:sz w:val="20"/>
          <w:szCs w:val="20"/>
        </w:rPr>
        <w:t xml:space="preserve">s removal should only </w:t>
      </w:r>
      <w:proofErr w:type="gramStart"/>
      <w:r w:rsidR="00A965A9" w:rsidRPr="0014127B">
        <w:rPr>
          <w:sz w:val="20"/>
          <w:szCs w:val="20"/>
        </w:rPr>
        <w:t xml:space="preserve">occur </w:t>
      </w:r>
      <w:r w:rsidRPr="0014127B">
        <w:rPr>
          <w:sz w:val="20"/>
          <w:szCs w:val="20"/>
        </w:rPr>
        <w:t xml:space="preserve"> if</w:t>
      </w:r>
      <w:proofErr w:type="gramEnd"/>
      <w:r w:rsidRPr="0014127B">
        <w:rPr>
          <w:sz w:val="20"/>
          <w:szCs w:val="20"/>
        </w:rPr>
        <w:t xml:space="preserve"> good cause for such removal exists;</w:t>
      </w:r>
    </w:p>
    <w:p w14:paraId="284993E3" w14:textId="63A45410" w:rsidR="001316D0" w:rsidRPr="0014127B" w:rsidRDefault="003A0665" w:rsidP="0014127B">
      <w:pPr>
        <w:pStyle w:val="b-bodytext"/>
        <w:numPr>
          <w:ilvl w:val="0"/>
          <w:numId w:val="12"/>
        </w:numPr>
        <w:tabs>
          <w:tab w:val="clear" w:pos="440"/>
        </w:tabs>
        <w:spacing w:line="480" w:lineRule="auto"/>
        <w:ind w:left="1170" w:right="690" w:hanging="450"/>
        <w:rPr>
          <w:sz w:val="20"/>
          <w:szCs w:val="20"/>
        </w:rPr>
      </w:pPr>
      <w:r w:rsidRPr="0014127B">
        <w:rPr>
          <w:sz w:val="20"/>
          <w:szCs w:val="20"/>
        </w:rPr>
        <w:t xml:space="preserve">Whether a beneficiary should reach a certain age prior to having the right to remove a </w:t>
      </w:r>
      <w:proofErr w:type="gramStart"/>
      <w:r w:rsidRPr="0014127B">
        <w:rPr>
          <w:sz w:val="20"/>
          <w:szCs w:val="20"/>
        </w:rPr>
        <w:t>trustee;</w:t>
      </w:r>
      <w:proofErr w:type="gramEnd"/>
    </w:p>
    <w:p w14:paraId="1925C24F" w14:textId="4C372EF5" w:rsidR="001316D0" w:rsidRPr="0014127B" w:rsidRDefault="003A0665" w:rsidP="0014127B">
      <w:pPr>
        <w:pStyle w:val="b-bodytext"/>
        <w:numPr>
          <w:ilvl w:val="0"/>
          <w:numId w:val="12"/>
        </w:numPr>
        <w:tabs>
          <w:tab w:val="clear" w:pos="440"/>
        </w:tabs>
        <w:spacing w:line="480" w:lineRule="auto"/>
        <w:ind w:left="1170" w:right="690" w:hanging="450"/>
        <w:rPr>
          <w:sz w:val="20"/>
          <w:szCs w:val="20"/>
        </w:rPr>
      </w:pPr>
      <w:r w:rsidRPr="0014127B">
        <w:rPr>
          <w:sz w:val="20"/>
          <w:szCs w:val="20"/>
        </w:rPr>
        <w:t>Whether a majority of the adult current beneficiaries (and remainder beneficiaries) should agree on the trustee</w:t>
      </w:r>
      <w:r w:rsidR="001A6DCB" w:rsidRPr="0014127B">
        <w:rPr>
          <w:sz w:val="20"/>
          <w:szCs w:val="20"/>
        </w:rPr>
        <w:t>’</w:t>
      </w:r>
      <w:r w:rsidRPr="0014127B">
        <w:rPr>
          <w:sz w:val="20"/>
          <w:szCs w:val="20"/>
        </w:rPr>
        <w:t>s removal; and</w:t>
      </w:r>
    </w:p>
    <w:p w14:paraId="25A3122D" w14:textId="7C114471" w:rsidR="003A0665" w:rsidRPr="0014127B" w:rsidRDefault="003A0665" w:rsidP="0014127B">
      <w:pPr>
        <w:pStyle w:val="b-bodytext"/>
        <w:numPr>
          <w:ilvl w:val="0"/>
          <w:numId w:val="12"/>
        </w:numPr>
        <w:tabs>
          <w:tab w:val="clear" w:pos="440"/>
        </w:tabs>
        <w:spacing w:line="480" w:lineRule="auto"/>
        <w:ind w:left="1170" w:right="690" w:hanging="450"/>
        <w:rPr>
          <w:sz w:val="20"/>
          <w:szCs w:val="20"/>
        </w:rPr>
      </w:pPr>
      <w:r w:rsidRPr="0014127B">
        <w:rPr>
          <w:sz w:val="20"/>
          <w:szCs w:val="20"/>
        </w:rPr>
        <w:t>Whether individual and corporate trustees should be subject to different removal standards.</w:t>
      </w:r>
      <w:r w:rsidRPr="0014127B">
        <w:rPr>
          <w:rStyle w:val="FootnoteReference"/>
          <w:rFonts w:cs="Times New Roman"/>
          <w:sz w:val="20"/>
          <w:szCs w:val="20"/>
        </w:rPr>
        <w:footnoteReference w:id="374"/>
      </w:r>
    </w:p>
    <w:p w14:paraId="7BFD069C" w14:textId="734AAB5A" w:rsidR="003A0665" w:rsidRPr="0059378C" w:rsidRDefault="003A0665" w:rsidP="00561F7C">
      <w:pPr>
        <w:pStyle w:val="b-bodytext"/>
        <w:spacing w:line="480" w:lineRule="auto"/>
        <w:ind w:firstLine="0"/>
      </w:pPr>
      <w:r w:rsidRPr="0059378C">
        <w:t>How broad or narrow trustee removal provisions are drafted may also tie back to the discussion of a settlor</w:t>
      </w:r>
      <w:r w:rsidR="001A6DCB">
        <w:t>’</w:t>
      </w:r>
      <w:r w:rsidRPr="0059378C">
        <w:t>s intent when creating a trust in Section II.A.</w:t>
      </w:r>
      <w:r w:rsidRPr="0059378C">
        <w:rPr>
          <w:rStyle w:val="FootnoteReference"/>
        </w:rPr>
        <w:footnoteReference w:id="375"/>
      </w:r>
      <w:r w:rsidRPr="0059378C">
        <w:t xml:space="preserve"> </w:t>
      </w:r>
      <w:r>
        <w:t xml:space="preserve"> </w:t>
      </w:r>
      <w:r w:rsidRPr="0059378C">
        <w:t>For example:</w:t>
      </w:r>
    </w:p>
    <w:p w14:paraId="34F38CB4" w14:textId="721EAE8D" w:rsidR="003A0665" w:rsidRPr="0014127B" w:rsidRDefault="003A0665" w:rsidP="0014127B">
      <w:pPr>
        <w:pStyle w:val="b-bodytext"/>
        <w:numPr>
          <w:ilvl w:val="0"/>
          <w:numId w:val="13"/>
        </w:numPr>
        <w:tabs>
          <w:tab w:val="clear" w:pos="440"/>
          <w:tab w:val="left" w:pos="0"/>
        </w:tabs>
        <w:spacing w:line="480" w:lineRule="auto"/>
        <w:ind w:left="1170" w:right="780" w:hanging="450"/>
        <w:rPr>
          <w:sz w:val="20"/>
          <w:szCs w:val="20"/>
        </w:rPr>
      </w:pPr>
      <w:r w:rsidRPr="0014127B">
        <w:rPr>
          <w:sz w:val="20"/>
          <w:szCs w:val="20"/>
        </w:rPr>
        <w:lastRenderedPageBreak/>
        <w:t>If settlor would have distributed the assets outright to the beneficiary except for creditor or tax issues, an unlimited removal right may be appropriate;</w:t>
      </w:r>
    </w:p>
    <w:p w14:paraId="7E699CF2" w14:textId="3D7BA248" w:rsidR="003A0665" w:rsidRPr="0014127B" w:rsidRDefault="006A0C9E" w:rsidP="0014127B">
      <w:pPr>
        <w:pStyle w:val="b-bodytext"/>
        <w:numPr>
          <w:ilvl w:val="0"/>
          <w:numId w:val="13"/>
        </w:numPr>
        <w:tabs>
          <w:tab w:val="clear" w:pos="440"/>
          <w:tab w:val="left" w:pos="0"/>
        </w:tabs>
        <w:spacing w:line="480" w:lineRule="auto"/>
        <w:ind w:left="1170" w:right="780" w:hanging="450"/>
        <w:rPr>
          <w:sz w:val="20"/>
          <w:szCs w:val="20"/>
        </w:rPr>
      </w:pPr>
      <w:r w:rsidRPr="0014127B">
        <w:rPr>
          <w:sz w:val="20"/>
          <w:szCs w:val="20"/>
        </w:rPr>
        <w:t xml:space="preserve">Institutions </w:t>
      </w:r>
      <w:r w:rsidR="003A0665" w:rsidRPr="0014127B">
        <w:rPr>
          <w:sz w:val="20"/>
          <w:szCs w:val="20"/>
        </w:rPr>
        <w:t xml:space="preserve">where the settlor wants to provide for different </w:t>
      </w:r>
      <w:r w:rsidR="00A965A9" w:rsidRPr="0014127B">
        <w:rPr>
          <w:sz w:val="20"/>
          <w:szCs w:val="20"/>
        </w:rPr>
        <w:t xml:space="preserve">       </w:t>
      </w:r>
      <w:r w:rsidR="003A0665" w:rsidRPr="0014127B">
        <w:rPr>
          <w:sz w:val="20"/>
          <w:szCs w:val="20"/>
        </w:rPr>
        <w:t xml:space="preserve">beneficiaries, protect a spendthrift beneficiary, etc., the removal right should be restricted to avoid retaliatory </w:t>
      </w:r>
      <w:proofErr w:type="gramStart"/>
      <w:r w:rsidR="003A0665" w:rsidRPr="0014127B">
        <w:rPr>
          <w:sz w:val="20"/>
          <w:szCs w:val="20"/>
        </w:rPr>
        <w:t>removals;</w:t>
      </w:r>
      <w:proofErr w:type="gramEnd"/>
    </w:p>
    <w:p w14:paraId="34B6DBA9" w14:textId="119CD48B" w:rsidR="003A0665" w:rsidRPr="0014127B" w:rsidRDefault="003A0665" w:rsidP="0014127B">
      <w:pPr>
        <w:pStyle w:val="b-bodytext"/>
        <w:numPr>
          <w:ilvl w:val="0"/>
          <w:numId w:val="13"/>
        </w:numPr>
        <w:tabs>
          <w:tab w:val="clear" w:pos="440"/>
          <w:tab w:val="left" w:pos="0"/>
        </w:tabs>
        <w:spacing w:line="480" w:lineRule="auto"/>
        <w:ind w:left="1170" w:right="780" w:hanging="450"/>
        <w:rPr>
          <w:sz w:val="20"/>
          <w:szCs w:val="20"/>
        </w:rPr>
      </w:pPr>
      <w:r w:rsidRPr="0014127B">
        <w:rPr>
          <w:sz w:val="20"/>
          <w:szCs w:val="20"/>
        </w:rPr>
        <w:t xml:space="preserve">If there is a primary or sole beneficiary of the trustee, he or she, acting alone, may have the right to remove a trustee whereas if the trust is a pot trust primarily for a single generation with similar </w:t>
      </w:r>
      <w:r w:rsidR="00A965A9" w:rsidRPr="0014127B">
        <w:rPr>
          <w:sz w:val="20"/>
          <w:szCs w:val="20"/>
        </w:rPr>
        <w:t xml:space="preserve"> </w:t>
      </w:r>
      <w:r w:rsidRPr="0014127B">
        <w:rPr>
          <w:sz w:val="20"/>
          <w:szCs w:val="20"/>
        </w:rPr>
        <w:t>resources and needs, they may have the right to remove a trustee, acting by majority;</w:t>
      </w:r>
    </w:p>
    <w:p w14:paraId="6C0E0E04" w14:textId="7A854E47" w:rsidR="003A0665" w:rsidRPr="0014127B" w:rsidRDefault="003A0665" w:rsidP="0014127B">
      <w:pPr>
        <w:pStyle w:val="b-bodytext"/>
        <w:numPr>
          <w:ilvl w:val="0"/>
          <w:numId w:val="13"/>
        </w:numPr>
        <w:tabs>
          <w:tab w:val="clear" w:pos="440"/>
          <w:tab w:val="left" w:pos="0"/>
        </w:tabs>
        <w:spacing w:line="480" w:lineRule="auto"/>
        <w:ind w:left="1170" w:right="780" w:hanging="450"/>
        <w:rPr>
          <w:sz w:val="20"/>
          <w:szCs w:val="20"/>
        </w:rPr>
      </w:pPr>
      <w:r w:rsidRPr="0014127B">
        <w:rPr>
          <w:sz w:val="20"/>
          <w:szCs w:val="20"/>
        </w:rPr>
        <w:t>If a trust has or may have younger beneficiaries, limit a beneficiary</w:t>
      </w:r>
      <w:r w:rsidR="001A6DCB" w:rsidRPr="0014127B">
        <w:rPr>
          <w:sz w:val="20"/>
          <w:szCs w:val="20"/>
        </w:rPr>
        <w:t>’</w:t>
      </w:r>
      <w:r w:rsidRPr="0014127B">
        <w:rPr>
          <w:sz w:val="20"/>
          <w:szCs w:val="20"/>
        </w:rPr>
        <w:t>s removal rights to a certain age.  In this case, consider giving such rights to a parent or natural guardian of the beneficiary until the beneficiary reaches the specified age.</w:t>
      </w:r>
      <w:r w:rsidRPr="0014127B">
        <w:rPr>
          <w:rStyle w:val="FootnoteReference"/>
          <w:rFonts w:cs="Times New Roman"/>
          <w:sz w:val="20"/>
          <w:szCs w:val="20"/>
        </w:rPr>
        <w:footnoteReference w:id="376"/>
      </w:r>
    </w:p>
    <w:p w14:paraId="723CA89C" w14:textId="77777777" w:rsidR="003A0665" w:rsidRDefault="003A0665" w:rsidP="00561F7C">
      <w:pPr>
        <w:pStyle w:val="a-2ndSubHd"/>
        <w:spacing w:line="480" w:lineRule="auto"/>
        <w:rPr>
          <w:iCs/>
        </w:rPr>
      </w:pPr>
      <w:bookmarkStart w:id="129" w:name="_Toc7167226"/>
      <w:bookmarkStart w:id="130" w:name="_Toc31203645"/>
      <w:r w:rsidRPr="001618B7">
        <w:t>D.</w:t>
      </w:r>
      <w:r>
        <w:t xml:space="preserve">  </w:t>
      </w:r>
      <w:r w:rsidRPr="001618B7">
        <w:t>Transition Between Trustees</w:t>
      </w:r>
      <w:bookmarkEnd w:id="129"/>
      <w:bookmarkEnd w:id="130"/>
    </w:p>
    <w:p w14:paraId="5A53C095" w14:textId="06910A37" w:rsidR="003A0665" w:rsidRPr="0059378C" w:rsidRDefault="003A0665" w:rsidP="00561F7C">
      <w:pPr>
        <w:pStyle w:val="b-bodytext"/>
        <w:spacing w:line="480" w:lineRule="auto"/>
      </w:pPr>
      <w:r w:rsidRPr="0059378C">
        <w:t xml:space="preserve">Ideally, trustee resignation and removal provisions should lay the groundwork for a smooth transition from the current trustee to the successor </w:t>
      </w:r>
      <w:r w:rsidRPr="0059378C">
        <w:lastRenderedPageBreak/>
        <w:t>trustee.</w:t>
      </w:r>
      <w:r w:rsidRPr="0059378C">
        <w:rPr>
          <w:rStyle w:val="FootnoteReference"/>
        </w:rPr>
        <w:footnoteReference w:id="377"/>
      </w:r>
      <w:r w:rsidRPr="0059378C">
        <w:t xml:space="preserve"> </w:t>
      </w:r>
      <w:r>
        <w:t xml:space="preserve"> </w:t>
      </w:r>
      <w:r w:rsidRPr="0059378C">
        <w:t>The beneficiaries, as well as the exiting and entering fiduciaries should be aware of the change, its timing, and expectations as to the transfer of the trust estate.</w:t>
      </w:r>
      <w:r w:rsidRPr="0059378C">
        <w:rPr>
          <w:rStyle w:val="FootnoteReference"/>
        </w:rPr>
        <w:footnoteReference w:id="378"/>
      </w:r>
    </w:p>
    <w:p w14:paraId="5A0FF443" w14:textId="77777777" w:rsidR="003A0665" w:rsidRDefault="003A0665" w:rsidP="00561F7C">
      <w:pPr>
        <w:pStyle w:val="a-3rdSubHd"/>
        <w:spacing w:line="480" w:lineRule="auto"/>
      </w:pPr>
      <w:bookmarkStart w:id="131" w:name="_Toc7167227"/>
      <w:bookmarkStart w:id="132" w:name="_Toc31203646"/>
      <w:r w:rsidRPr="0059378C">
        <w:t xml:space="preserve">1.  </w:t>
      </w:r>
      <w:r w:rsidRPr="001618B7">
        <w:t>Notice</w:t>
      </w:r>
      <w:bookmarkEnd w:id="131"/>
      <w:bookmarkEnd w:id="132"/>
    </w:p>
    <w:p w14:paraId="1667B146" w14:textId="0DB653E3" w:rsidR="009A1DEE" w:rsidRPr="0059378C" w:rsidRDefault="003A0665" w:rsidP="0014127B">
      <w:pPr>
        <w:pStyle w:val="b-bodytext"/>
        <w:tabs>
          <w:tab w:val="clear" w:pos="440"/>
          <w:tab w:val="left" w:pos="0"/>
        </w:tabs>
        <w:spacing w:line="480" w:lineRule="auto"/>
      </w:pPr>
      <w:r w:rsidRPr="0059378C">
        <w:t xml:space="preserve">When drafting these provisions, the following should be considered, noting </w:t>
      </w:r>
      <w:r w:rsidR="008B1102">
        <w:t>t</w:t>
      </w:r>
      <w:r w:rsidRPr="0059378C">
        <w:t xml:space="preserve">hat more advanced notice </w:t>
      </w:r>
      <w:proofErr w:type="gramStart"/>
      <w:r w:rsidRPr="0059378C">
        <w:t>may</w:t>
      </w:r>
      <w:proofErr w:type="gramEnd"/>
      <w:r w:rsidRPr="0059378C">
        <w:t xml:space="preserve"> desirable for resigning trustees as opposed to those being removed:</w:t>
      </w:r>
    </w:p>
    <w:p w14:paraId="03C3D4DE" w14:textId="49725314" w:rsidR="009A1DEE" w:rsidRPr="0014127B" w:rsidRDefault="003A0665" w:rsidP="0014127B">
      <w:pPr>
        <w:pStyle w:val="b-bodytext"/>
        <w:numPr>
          <w:ilvl w:val="0"/>
          <w:numId w:val="15"/>
        </w:numPr>
        <w:tabs>
          <w:tab w:val="clear" w:pos="440"/>
          <w:tab w:val="left" w:pos="0"/>
        </w:tabs>
        <w:spacing w:line="480" w:lineRule="auto"/>
        <w:ind w:left="1080" w:right="690"/>
        <w:rPr>
          <w:sz w:val="20"/>
          <w:szCs w:val="20"/>
        </w:rPr>
      </w:pPr>
      <w:r w:rsidRPr="0014127B">
        <w:rPr>
          <w:sz w:val="20"/>
          <w:szCs w:val="20"/>
        </w:rPr>
        <w:t xml:space="preserve">Who should receive notice: all beneficiaries, current beneficiaries, trust protector and/or advisor, parents or legal guardians of minor beneficiaries, </w:t>
      </w:r>
      <w:proofErr w:type="gramStart"/>
      <w:r w:rsidRPr="0014127B">
        <w:rPr>
          <w:sz w:val="20"/>
          <w:szCs w:val="20"/>
        </w:rPr>
        <w:t>etc.;</w:t>
      </w:r>
      <w:proofErr w:type="gramEnd"/>
    </w:p>
    <w:p w14:paraId="3FE33C11" w14:textId="019441F4" w:rsidR="009A1DEE" w:rsidRPr="0014127B" w:rsidRDefault="003A0665" w:rsidP="0014127B">
      <w:pPr>
        <w:pStyle w:val="b-bodytext"/>
        <w:numPr>
          <w:ilvl w:val="0"/>
          <w:numId w:val="15"/>
        </w:numPr>
        <w:tabs>
          <w:tab w:val="clear" w:pos="440"/>
          <w:tab w:val="left" w:pos="0"/>
        </w:tabs>
        <w:spacing w:line="480" w:lineRule="auto"/>
        <w:ind w:left="1080" w:right="600"/>
        <w:rPr>
          <w:sz w:val="20"/>
          <w:szCs w:val="20"/>
        </w:rPr>
      </w:pPr>
      <w:r w:rsidRPr="0014127B">
        <w:rPr>
          <w:sz w:val="20"/>
          <w:szCs w:val="20"/>
        </w:rPr>
        <w:t xml:space="preserve">How notice should be </w:t>
      </w:r>
      <w:proofErr w:type="gramStart"/>
      <w:r w:rsidRPr="0014127B">
        <w:rPr>
          <w:sz w:val="20"/>
          <w:szCs w:val="20"/>
        </w:rPr>
        <w:t>given;</w:t>
      </w:r>
      <w:proofErr w:type="gramEnd"/>
    </w:p>
    <w:p w14:paraId="5C4886E7" w14:textId="6539D640" w:rsidR="009A1DEE" w:rsidRPr="0014127B" w:rsidRDefault="003A0665" w:rsidP="0014127B">
      <w:pPr>
        <w:pStyle w:val="b-bodytext"/>
        <w:numPr>
          <w:ilvl w:val="0"/>
          <w:numId w:val="15"/>
        </w:numPr>
        <w:tabs>
          <w:tab w:val="clear" w:pos="440"/>
          <w:tab w:val="left" w:pos="0"/>
        </w:tabs>
        <w:spacing w:line="480" w:lineRule="auto"/>
        <w:ind w:left="1080" w:right="600"/>
        <w:rPr>
          <w:rFonts w:eastAsia="SymbolMT"/>
          <w:sz w:val="20"/>
          <w:szCs w:val="20"/>
        </w:rPr>
      </w:pPr>
      <w:r w:rsidRPr="0014127B">
        <w:rPr>
          <w:sz w:val="20"/>
          <w:szCs w:val="20"/>
        </w:rPr>
        <w:t xml:space="preserve">Means for delivery of </w:t>
      </w:r>
      <w:proofErr w:type="gramStart"/>
      <w:r w:rsidRPr="0014127B">
        <w:rPr>
          <w:sz w:val="20"/>
          <w:szCs w:val="20"/>
        </w:rPr>
        <w:t>notice;</w:t>
      </w:r>
      <w:proofErr w:type="gramEnd"/>
    </w:p>
    <w:p w14:paraId="2B26B8D9" w14:textId="4F2CBB17" w:rsidR="009A1DEE" w:rsidRPr="0014127B" w:rsidRDefault="003A0665" w:rsidP="0014127B">
      <w:pPr>
        <w:pStyle w:val="b-bodytext"/>
        <w:numPr>
          <w:ilvl w:val="0"/>
          <w:numId w:val="15"/>
        </w:numPr>
        <w:tabs>
          <w:tab w:val="clear" w:pos="440"/>
          <w:tab w:val="left" w:pos="0"/>
        </w:tabs>
        <w:spacing w:line="480" w:lineRule="auto"/>
        <w:ind w:left="1080" w:right="780"/>
        <w:rPr>
          <w:rFonts w:eastAsia="SymbolMT"/>
          <w:sz w:val="20"/>
          <w:szCs w:val="20"/>
        </w:rPr>
      </w:pPr>
      <w:r w:rsidRPr="0014127B">
        <w:rPr>
          <w:sz w:val="20"/>
          <w:szCs w:val="20"/>
        </w:rPr>
        <w:t xml:space="preserve">Time period before resignation is </w:t>
      </w:r>
      <w:proofErr w:type="gramStart"/>
      <w:r w:rsidRPr="0014127B">
        <w:rPr>
          <w:sz w:val="20"/>
          <w:szCs w:val="20"/>
        </w:rPr>
        <w:t>effective;</w:t>
      </w:r>
      <w:proofErr w:type="gramEnd"/>
    </w:p>
    <w:p w14:paraId="34E12885" w14:textId="234AF6E2" w:rsidR="009A1DEE" w:rsidRPr="0014127B" w:rsidRDefault="003A0665" w:rsidP="0014127B">
      <w:pPr>
        <w:pStyle w:val="b-bodytext"/>
        <w:numPr>
          <w:ilvl w:val="0"/>
          <w:numId w:val="15"/>
        </w:numPr>
        <w:tabs>
          <w:tab w:val="clear" w:pos="440"/>
          <w:tab w:val="left" w:pos="0"/>
        </w:tabs>
        <w:spacing w:line="480" w:lineRule="auto"/>
        <w:ind w:left="1080" w:right="690"/>
        <w:rPr>
          <w:sz w:val="20"/>
          <w:szCs w:val="20"/>
        </w:rPr>
      </w:pPr>
      <w:r w:rsidRPr="0014127B">
        <w:rPr>
          <w:sz w:val="20"/>
          <w:szCs w:val="20"/>
        </w:rPr>
        <w:t xml:space="preserve">Ability of certain persons or entities to waive the notice time </w:t>
      </w:r>
      <w:proofErr w:type="gramStart"/>
      <w:r w:rsidRPr="0014127B">
        <w:rPr>
          <w:sz w:val="20"/>
          <w:szCs w:val="20"/>
        </w:rPr>
        <w:t>period;</w:t>
      </w:r>
      <w:proofErr w:type="gramEnd"/>
    </w:p>
    <w:p w14:paraId="048DD09D" w14:textId="45F99021" w:rsidR="009A1DEE" w:rsidRPr="0014127B" w:rsidRDefault="003A0665" w:rsidP="0014127B">
      <w:pPr>
        <w:pStyle w:val="b-bodytext"/>
        <w:numPr>
          <w:ilvl w:val="0"/>
          <w:numId w:val="15"/>
        </w:numPr>
        <w:tabs>
          <w:tab w:val="clear" w:pos="440"/>
          <w:tab w:val="left" w:pos="0"/>
        </w:tabs>
        <w:spacing w:line="480" w:lineRule="auto"/>
        <w:ind w:left="1080" w:right="690"/>
        <w:rPr>
          <w:sz w:val="20"/>
          <w:szCs w:val="20"/>
        </w:rPr>
      </w:pPr>
      <w:r w:rsidRPr="0014127B">
        <w:rPr>
          <w:sz w:val="20"/>
          <w:szCs w:val="20"/>
        </w:rPr>
        <w:t xml:space="preserve">What happens if no successor trustee is appointed at the time the resignation is </w:t>
      </w:r>
      <w:proofErr w:type="gramStart"/>
      <w:r w:rsidRPr="0014127B">
        <w:rPr>
          <w:sz w:val="20"/>
          <w:szCs w:val="20"/>
        </w:rPr>
        <w:t>effective;</w:t>
      </w:r>
      <w:proofErr w:type="gramEnd"/>
    </w:p>
    <w:p w14:paraId="4CF7DEC7" w14:textId="74C0023F" w:rsidR="003A0665" w:rsidRPr="0014127B" w:rsidRDefault="003A0665" w:rsidP="0014127B">
      <w:pPr>
        <w:pStyle w:val="b-bodytext"/>
        <w:numPr>
          <w:ilvl w:val="0"/>
          <w:numId w:val="15"/>
        </w:numPr>
        <w:tabs>
          <w:tab w:val="clear" w:pos="440"/>
          <w:tab w:val="left" w:pos="0"/>
        </w:tabs>
        <w:spacing w:line="480" w:lineRule="auto"/>
        <w:ind w:left="1080" w:right="690"/>
        <w:rPr>
          <w:sz w:val="20"/>
          <w:szCs w:val="20"/>
        </w:rPr>
      </w:pPr>
      <w:r w:rsidRPr="0014127B">
        <w:rPr>
          <w:sz w:val="20"/>
          <w:szCs w:val="20"/>
        </w:rPr>
        <w:t>Right of resigning trustee to seek a judicial acceptance and/or settlement notwithstanding resignation provisions.</w:t>
      </w:r>
      <w:r w:rsidRPr="0014127B">
        <w:rPr>
          <w:rStyle w:val="FootnoteReference"/>
          <w:rFonts w:cs="Times New Roman"/>
          <w:sz w:val="20"/>
          <w:szCs w:val="20"/>
        </w:rPr>
        <w:footnoteReference w:id="379"/>
      </w:r>
    </w:p>
    <w:p w14:paraId="60FC38BC" w14:textId="25853982" w:rsidR="003A0665" w:rsidRPr="0059378C" w:rsidRDefault="00533E23" w:rsidP="00561F7C">
      <w:pPr>
        <w:pStyle w:val="b-bodytext"/>
        <w:spacing w:line="480" w:lineRule="auto"/>
      </w:pPr>
      <w:r>
        <w:lastRenderedPageBreak/>
        <w:t xml:space="preserve">If the trust does not have </w:t>
      </w:r>
      <w:r w:rsidR="003A0665" w:rsidRPr="0059378C">
        <w:t xml:space="preserve">vested remaindermen, it </w:t>
      </w:r>
      <w:r>
        <w:t>may”</w:t>
      </w:r>
      <w:r w:rsidRPr="0059378C">
        <w:t xml:space="preserve"> </w:t>
      </w:r>
      <w:r w:rsidR="003A0665" w:rsidRPr="0059378C">
        <w:t xml:space="preserve">be difficult for a resigning trustee to notice </w:t>
      </w:r>
      <w:r w:rsidR="003A0665" w:rsidRPr="0059378C">
        <w:rPr>
          <w:i/>
        </w:rPr>
        <w:t>every</w:t>
      </w:r>
      <w:r w:rsidR="003A0665" w:rsidRPr="0059378C">
        <w:t xml:space="preserve"> potential beneficiary of a trust</w:t>
      </w:r>
      <w:r>
        <w:t>”;</w:t>
      </w:r>
      <w:r w:rsidR="003A0665" w:rsidRPr="0059378C">
        <w:t xml:space="preserve"> so</w:t>
      </w:r>
      <w:r>
        <w:t>,</w:t>
      </w:r>
      <w:r w:rsidR="003A0665" w:rsidRPr="0059378C">
        <w:t xml:space="preserve"> it may be prudent to limit notice requirements to current beneficiaries and possibly those remainder beneficiaries who have a vested interest, are readily ascertainable, and/or have a material interest in the trust.</w:t>
      </w:r>
      <w:r w:rsidR="003A0665" w:rsidRPr="0059378C">
        <w:rPr>
          <w:rStyle w:val="FootnoteReference"/>
        </w:rPr>
        <w:footnoteReference w:id="380"/>
      </w:r>
    </w:p>
    <w:p w14:paraId="47196A80" w14:textId="77777777" w:rsidR="003A0665" w:rsidRDefault="003A0665" w:rsidP="00561F7C">
      <w:pPr>
        <w:pStyle w:val="a-3rdSubHd"/>
        <w:spacing w:line="480" w:lineRule="auto"/>
      </w:pPr>
      <w:bookmarkStart w:id="133" w:name="_Toc7167228"/>
      <w:bookmarkStart w:id="134" w:name="_Toc31203647"/>
      <w:r w:rsidRPr="0054270B">
        <w:t>2.  Acceptance by Successor Trustee</w:t>
      </w:r>
      <w:bookmarkEnd w:id="133"/>
      <w:bookmarkEnd w:id="134"/>
    </w:p>
    <w:p w14:paraId="61BE8D50" w14:textId="524D001B" w:rsidR="003A0665" w:rsidRPr="0059378C" w:rsidRDefault="003A0665" w:rsidP="00561F7C">
      <w:pPr>
        <w:pStyle w:val="b-bodytext"/>
        <w:spacing w:line="480" w:lineRule="auto"/>
      </w:pPr>
      <w:r w:rsidRPr="0059378C">
        <w:t>Additionally, t</w:t>
      </w:r>
      <w:r w:rsidR="00B776D8">
        <w:t>he effectiveness of the acceptance should be clarified by the agreement.</w:t>
      </w:r>
      <w:r w:rsidRPr="0059378C">
        <w:rPr>
          <w:rStyle w:val="FootnoteReference"/>
        </w:rPr>
        <w:footnoteReference w:id="381"/>
      </w:r>
      <w:r w:rsidRPr="0059378C">
        <w:t xml:space="preserve">  Some trust agreements </w:t>
      </w:r>
      <w:proofErr w:type="gramStart"/>
      <w:r w:rsidRPr="0059378C">
        <w:t xml:space="preserve">require </w:t>
      </w:r>
      <w:r w:rsidR="00B776D8">
        <w:t xml:space="preserve"> the</w:t>
      </w:r>
      <w:proofErr w:type="gramEnd"/>
      <w:r w:rsidR="00B776D8">
        <w:t xml:space="preserve"> appointment of a new trustee prior to the resignation becoming effective</w:t>
      </w:r>
      <w:r w:rsidRPr="0059378C">
        <w:t>.</w:t>
      </w:r>
      <w:r w:rsidRPr="0059378C">
        <w:rPr>
          <w:rStyle w:val="FootnoteReference"/>
        </w:rPr>
        <w:footnoteReference w:id="382"/>
      </w:r>
      <w:r w:rsidRPr="0059378C">
        <w:t xml:space="preserve">  This ensures that the trust has a trustee at all times, but in certain cases, this has led to a trustee remaining an indentured servant for longer than he or she contemplated.</w:t>
      </w:r>
      <w:r w:rsidRPr="0059378C">
        <w:rPr>
          <w:rStyle w:val="FootnoteReference"/>
        </w:rPr>
        <w:footnoteReference w:id="383"/>
      </w:r>
    </w:p>
    <w:p w14:paraId="66401BBD" w14:textId="302AAF43" w:rsidR="003A0665" w:rsidRDefault="003A0665" w:rsidP="00561F7C">
      <w:pPr>
        <w:pStyle w:val="b-bodytext"/>
        <w:spacing w:line="480" w:lineRule="auto"/>
      </w:pPr>
      <w:r w:rsidRPr="0059378C">
        <w:t>Another issue arises if a trust instrument provides that the then-serving trustee may appoint a successor trustee of a trust upon the current trustee ceasing to serve.</w:t>
      </w:r>
      <w:r w:rsidRPr="0059378C">
        <w:rPr>
          <w:rStyle w:val="FootnoteReference"/>
        </w:rPr>
        <w:footnoteReference w:id="384"/>
      </w:r>
      <w:r w:rsidRPr="0059378C">
        <w:t xml:space="preserve">  Such language is unclear whether the trustee may appoint a successor trustee in the present, although such successor trustee would not serve until a later date when the current trustee fails to do so.</w:t>
      </w:r>
      <w:r w:rsidRPr="0059378C">
        <w:rPr>
          <w:rStyle w:val="FootnoteReference"/>
        </w:rPr>
        <w:footnoteReference w:id="385"/>
      </w:r>
      <w:r w:rsidRPr="0059378C">
        <w:t xml:space="preserve">  Similarly, if </w:t>
      </w:r>
      <w:r w:rsidRPr="0059378C">
        <w:lastRenderedPageBreak/>
        <w:t>a trust instrument requires that any trustee appointment must contain an acceptance by the appointee, it is practically impossible to find an individual or corporate fiduciary willing to accept an appointment to administer a trust at one date, knowing that the trust estate, beneficiaries, and numerous other factors may be different at the later date when such appointee would begin to serve.</w:t>
      </w:r>
      <w:r w:rsidRPr="0059378C">
        <w:rPr>
          <w:rStyle w:val="FootnoteReference"/>
        </w:rPr>
        <w:footnoteReference w:id="386"/>
      </w:r>
    </w:p>
    <w:p w14:paraId="44750E28" w14:textId="77777777" w:rsidR="003A0665" w:rsidRPr="0059378C" w:rsidRDefault="003A0665" w:rsidP="00561F7C">
      <w:pPr>
        <w:spacing w:line="480" w:lineRule="auto"/>
      </w:pPr>
    </w:p>
    <w:p w14:paraId="59ACEEF8" w14:textId="77777777" w:rsidR="003A0665" w:rsidRDefault="003A0665" w:rsidP="00561F7C">
      <w:pPr>
        <w:pStyle w:val="a-3rdSubHd"/>
        <w:spacing w:before="0" w:after="0" w:line="480" w:lineRule="auto"/>
      </w:pPr>
      <w:bookmarkStart w:id="135" w:name="_Toc7167229"/>
      <w:bookmarkStart w:id="136" w:name="_Toc31203648"/>
      <w:r w:rsidRPr="0054270B">
        <w:t>3.  Transfer of Trust Estate</w:t>
      </w:r>
      <w:bookmarkEnd w:id="135"/>
      <w:bookmarkEnd w:id="136"/>
    </w:p>
    <w:p w14:paraId="5A588326" w14:textId="77777777" w:rsidR="003A0665" w:rsidRPr="0054270B" w:rsidRDefault="003A0665" w:rsidP="00561F7C">
      <w:pPr>
        <w:spacing w:line="480" w:lineRule="auto"/>
      </w:pPr>
    </w:p>
    <w:p w14:paraId="10AC2798" w14:textId="0769ACE6" w:rsidR="003A0665" w:rsidRDefault="003144AE" w:rsidP="00561F7C">
      <w:pPr>
        <w:pStyle w:val="b-bodytext"/>
        <w:spacing w:line="480" w:lineRule="auto"/>
      </w:pPr>
      <w:r>
        <w:t>T</w:t>
      </w:r>
      <w:r w:rsidR="003A0665" w:rsidRPr="0059378C">
        <w:t xml:space="preserve">he Texas Trust Code </w:t>
      </w:r>
      <w:r>
        <w:t>permits</w:t>
      </w:r>
      <w:r w:rsidRPr="0059378C">
        <w:t xml:space="preserve"> </w:t>
      </w:r>
      <w:r w:rsidR="003A0665" w:rsidRPr="0059378C">
        <w:t xml:space="preserve">a trustee to wind-up the </w:t>
      </w:r>
      <w:r>
        <w:t xml:space="preserve">trust affairs. </w:t>
      </w:r>
      <w:r>
        <w:rPr>
          <w:rStyle w:val="FootnoteReference"/>
        </w:rPr>
        <w:footnoteReference w:id="387"/>
      </w:r>
      <w:r w:rsidR="003A0665" w:rsidRPr="0059378C">
        <w:t xml:space="preserve"> </w:t>
      </w:r>
      <w:r>
        <w:t>However, it does not address</w:t>
      </w:r>
      <w:r w:rsidR="003A0665" w:rsidRPr="0059378C">
        <w:t xml:space="preserve"> </w:t>
      </w:r>
      <w:r>
        <w:t>“</w:t>
      </w:r>
      <w:r w:rsidR="003A0665" w:rsidRPr="0059378C">
        <w:t xml:space="preserve">whether a resigning trustee can retain trust assets pending </w:t>
      </w:r>
      <w:r w:rsidR="00F44C39" w:rsidRPr="0059378C">
        <w:t>their release</w:t>
      </w:r>
      <w:r w:rsidR="003A0665" w:rsidRPr="0059378C">
        <w:t xml:space="preserve"> and discharge.</w:t>
      </w:r>
      <w:r>
        <w:t>”</w:t>
      </w:r>
      <w:r w:rsidR="003A0665" w:rsidRPr="0059378C">
        <w:rPr>
          <w:rStyle w:val="FootnoteReference"/>
        </w:rPr>
        <w:footnoteReference w:id="388"/>
      </w:r>
      <w:r w:rsidR="003A0665" w:rsidRPr="0059378C">
        <w:t xml:space="preserve">  This creates a</w:t>
      </w:r>
      <w:r>
        <w:t xml:space="preserve"> problem </w:t>
      </w:r>
      <w:proofErr w:type="gramStart"/>
      <w:r>
        <w:t>if and</w:t>
      </w:r>
      <w:r w:rsidRPr="0059378C">
        <w:t xml:space="preserve"> </w:t>
      </w:r>
      <w:r w:rsidR="003A0665" w:rsidRPr="0059378C">
        <w:t>when</w:t>
      </w:r>
      <w:proofErr w:type="gramEnd"/>
      <w:r w:rsidR="003A0665" w:rsidRPr="0059378C">
        <w:t xml:space="preserve"> a successor trustee demands the trust assets.</w:t>
      </w:r>
      <w:r w:rsidR="003A0665" w:rsidRPr="0059378C">
        <w:rPr>
          <w:rStyle w:val="FootnoteReference"/>
        </w:rPr>
        <w:footnoteReference w:id="389"/>
      </w:r>
      <w:r w:rsidR="003A0665" w:rsidRPr="0059378C">
        <w:t xml:space="preserve"> </w:t>
      </w:r>
      <w:r w:rsidR="00272013">
        <w:t> </w:t>
      </w:r>
      <w:r w:rsidR="003A0665" w:rsidRPr="0059378C">
        <w:t xml:space="preserve">To avoid future disputes, </w:t>
      </w:r>
      <w:r w:rsidR="00964B6F">
        <w:t>attorneys should consider whether t</w:t>
      </w:r>
      <w:r w:rsidR="003A0665" w:rsidRPr="0059378C">
        <w:t xml:space="preserve">o expressly </w:t>
      </w:r>
      <w:r w:rsidR="00964B6F">
        <w:t>permit</w:t>
      </w:r>
      <w:r w:rsidR="00964B6F" w:rsidRPr="0059378C">
        <w:t xml:space="preserve"> </w:t>
      </w:r>
      <w:r w:rsidR="003A0665" w:rsidRPr="0059378C">
        <w:t xml:space="preserve">a trustee to </w:t>
      </w:r>
      <w:r w:rsidR="00964B6F">
        <w:t xml:space="preserve">retain trust assets, </w:t>
      </w:r>
      <w:r w:rsidR="003A0665" w:rsidRPr="0059378C">
        <w:t>and if so, to what extent.</w:t>
      </w:r>
      <w:r w:rsidR="003A0665" w:rsidRPr="0059378C">
        <w:rPr>
          <w:rStyle w:val="FootnoteReference"/>
        </w:rPr>
        <w:footnoteReference w:id="390"/>
      </w:r>
      <w:r w:rsidR="003A0665" w:rsidRPr="0059378C">
        <w:t xml:space="preserve">  An example of such language is below:</w:t>
      </w:r>
    </w:p>
    <w:p w14:paraId="37779D14" w14:textId="77777777" w:rsidR="003A0665" w:rsidRPr="0059378C" w:rsidRDefault="003A0665" w:rsidP="00561F7C">
      <w:pPr>
        <w:spacing w:line="480" w:lineRule="auto"/>
      </w:pPr>
    </w:p>
    <w:tbl>
      <w:tblPr>
        <w:tblStyle w:val="TableGrid"/>
        <w:tblW w:w="0" w:type="auto"/>
        <w:jc w:val="center"/>
        <w:shd w:val="pct5" w:color="auto" w:fill="auto"/>
        <w:tblLook w:val="04A0" w:firstRow="1" w:lastRow="0" w:firstColumn="1" w:lastColumn="0" w:noHBand="0" w:noVBand="1"/>
      </w:tblPr>
      <w:tblGrid>
        <w:gridCol w:w="6710"/>
      </w:tblGrid>
      <w:tr w:rsidR="003A0665" w:rsidRPr="0059378C" w14:paraId="48467E35" w14:textId="77777777" w:rsidTr="00D3595A">
        <w:trPr>
          <w:jc w:val="center"/>
        </w:trPr>
        <w:tc>
          <w:tcPr>
            <w:tcW w:w="7799" w:type="dxa"/>
            <w:shd w:val="pct5" w:color="auto" w:fill="auto"/>
          </w:tcPr>
          <w:p w14:paraId="02D1DE36" w14:textId="135885A3" w:rsidR="003A0665" w:rsidRPr="00272013" w:rsidRDefault="003A0665" w:rsidP="00561F7C">
            <w:pPr>
              <w:spacing w:line="480" w:lineRule="auto"/>
              <w:jc w:val="both"/>
              <w:rPr>
                <w:rFonts w:ascii="Times New Roman" w:hAnsi="Times New Roman" w:cs="Times New Roman"/>
                <w:sz w:val="22"/>
                <w:szCs w:val="22"/>
              </w:rPr>
            </w:pPr>
            <w:r w:rsidRPr="00272013">
              <w:rPr>
                <w:rFonts w:ascii="Times New Roman" w:hAnsi="Times New Roman" w:cs="Times New Roman"/>
                <w:sz w:val="22"/>
                <w:szCs w:val="22"/>
              </w:rPr>
              <w:t xml:space="preserve">Notwithstanding any provision in this instrument to the contrary, any </w:t>
            </w:r>
            <w:r w:rsidRPr="00272013">
              <w:rPr>
                <w:rFonts w:ascii="Times New Roman" w:hAnsi="Times New Roman" w:cs="Times New Roman"/>
                <w:sz w:val="22"/>
                <w:szCs w:val="22"/>
              </w:rPr>
              <w:lastRenderedPageBreak/>
              <w:t>trustee may resign as trustee of any one or more trusts created under this instrument at any time, with or without cause, by filing a petition with any court having jurisdiction and venue of such trust seeking to resign, immediate or contingent upon such trustee</w:t>
            </w:r>
            <w:r w:rsidR="001A6DCB" w:rsidRPr="00272013">
              <w:rPr>
                <w:rFonts w:ascii="Times New Roman" w:hAnsi="Times New Roman" w:cs="Times New Roman"/>
                <w:sz w:val="22"/>
                <w:szCs w:val="22"/>
              </w:rPr>
              <w:t>’</w:t>
            </w:r>
            <w:r w:rsidRPr="00272013">
              <w:rPr>
                <w:rFonts w:ascii="Times New Roman" w:hAnsi="Times New Roman" w:cs="Times New Roman"/>
                <w:sz w:val="22"/>
                <w:szCs w:val="22"/>
              </w:rPr>
              <w:t>s release and discharge.</w:t>
            </w:r>
            <w:r w:rsidR="00272013">
              <w:rPr>
                <w:rFonts w:ascii="Times New Roman" w:hAnsi="Times New Roman" w:cs="Times New Roman"/>
                <w:sz w:val="22"/>
                <w:szCs w:val="22"/>
              </w:rPr>
              <w:t xml:space="preserve"> </w:t>
            </w:r>
            <w:r w:rsidRPr="00272013">
              <w:rPr>
                <w:rFonts w:ascii="Times New Roman" w:hAnsi="Times New Roman" w:cs="Times New Roman"/>
                <w:sz w:val="22"/>
                <w:szCs w:val="22"/>
              </w:rPr>
              <w:t xml:space="preserve"> Upon resignation, the trustee shall be entitled to pay from the trust assets and/or seek reimbursement for all costs, including legal and accounting fees and expenses, related to the proceeding.</w:t>
            </w:r>
          </w:p>
        </w:tc>
      </w:tr>
    </w:tbl>
    <w:p w14:paraId="51AC8A96" w14:textId="77777777" w:rsidR="003A0665" w:rsidRDefault="003A0665" w:rsidP="00561F7C">
      <w:pPr>
        <w:pStyle w:val="a-2ndSubHd"/>
        <w:spacing w:line="480" w:lineRule="auto"/>
        <w:rPr>
          <w:iCs/>
        </w:rPr>
      </w:pPr>
      <w:bookmarkStart w:id="137" w:name="_Toc7167230"/>
      <w:bookmarkStart w:id="138" w:name="_Toc31203649"/>
      <w:r w:rsidRPr="0054270B">
        <w:lastRenderedPageBreak/>
        <w:t>E.  Trustee Exculpation and Indemnity</w:t>
      </w:r>
      <w:bookmarkEnd w:id="137"/>
      <w:bookmarkEnd w:id="138"/>
    </w:p>
    <w:p w14:paraId="2EBB814D" w14:textId="3C701DFC" w:rsidR="003A0665" w:rsidRPr="0059378C" w:rsidRDefault="003A0665" w:rsidP="00561F7C">
      <w:pPr>
        <w:pStyle w:val="b-bodytext"/>
        <w:spacing w:line="480" w:lineRule="auto"/>
      </w:pPr>
      <w:r w:rsidRPr="0059378C">
        <w:t>Exculpation provisions may initially seem solely for the benefit of the trustee, but since such language gives some degree of cover to the fiduciary, it can also provide a level of comfort to exercise their discretion</w:t>
      </w:r>
      <w:r w:rsidR="000878F8">
        <w:t xml:space="preserve"> which can benefit the trust beneficiaries as well.</w:t>
      </w:r>
      <w:r w:rsidRPr="0059378C">
        <w:rPr>
          <w:rStyle w:val="FootnoteReference"/>
        </w:rPr>
        <w:footnoteReference w:id="391"/>
      </w:r>
      <w:r w:rsidRPr="0059378C">
        <w:t xml:space="preserve"> </w:t>
      </w:r>
      <w:r w:rsidR="00272013">
        <w:t> </w:t>
      </w:r>
      <w:r w:rsidR="000D7987">
        <w:t>P</w:t>
      </w:r>
      <w:r w:rsidRPr="0059378C">
        <w:t xml:space="preserve">roviding </w:t>
      </w:r>
      <w:r w:rsidR="000D7987">
        <w:t>a suitable</w:t>
      </w:r>
      <w:r w:rsidRPr="0059378C">
        <w:t xml:space="preserve"> level of exculpation</w:t>
      </w:r>
      <w:r w:rsidR="000D7987">
        <w:t xml:space="preserve"> </w:t>
      </w:r>
      <w:r w:rsidR="000878F8">
        <w:t>may</w:t>
      </w:r>
      <w:r w:rsidR="000D7987">
        <w:t xml:space="preserve"> encourage</w:t>
      </w:r>
      <w:r w:rsidR="000D7987" w:rsidRPr="0059378C">
        <w:t xml:space="preserve"> </w:t>
      </w:r>
      <w:r w:rsidRPr="0059378C">
        <w:t xml:space="preserve">a trustee </w:t>
      </w:r>
      <w:r w:rsidR="000D7987">
        <w:t>to</w:t>
      </w:r>
      <w:r w:rsidRPr="0059378C">
        <w:t xml:space="preserve"> accept the trust</w:t>
      </w:r>
      <w:r w:rsidR="000D7987">
        <w:t xml:space="preserve">, which is especially beneficial when dealing with </w:t>
      </w:r>
      <w:r w:rsidRPr="0059378C">
        <w:t>foreseeably difficult beneficiaries</w:t>
      </w:r>
      <w:r w:rsidR="000D7987">
        <w:t>.</w:t>
      </w:r>
      <w:r w:rsidR="000D7987">
        <w:rPr>
          <w:rStyle w:val="FootnoteReference"/>
        </w:rPr>
        <w:footnoteReference w:id="392"/>
      </w:r>
      <w:r w:rsidRPr="0059378C">
        <w:t xml:space="preserve"> </w:t>
      </w:r>
      <w:r w:rsidR="000D7987">
        <w:t>Exculpation also provides</w:t>
      </w:r>
      <w:r w:rsidRPr="0059378C">
        <w:t xml:space="preserve"> a </w:t>
      </w:r>
      <w:r w:rsidR="000D7987">
        <w:t>“</w:t>
      </w:r>
      <w:r w:rsidRPr="0059378C">
        <w:t>disincentive to a beneficiary seeking to threaten a trustee into making a distribution.</w:t>
      </w:r>
      <w:r w:rsidR="000D7987">
        <w:t>”</w:t>
      </w:r>
      <w:r w:rsidRPr="0059378C">
        <w:rPr>
          <w:rStyle w:val="FootnoteReference"/>
        </w:rPr>
        <w:footnoteReference w:id="393"/>
      </w:r>
    </w:p>
    <w:p w14:paraId="6A5C3319" w14:textId="09EE0A54" w:rsidR="003A0665" w:rsidRPr="0059378C" w:rsidRDefault="003A0665" w:rsidP="00561F7C">
      <w:pPr>
        <w:pStyle w:val="b-bodytext"/>
        <w:spacing w:line="480" w:lineRule="auto"/>
      </w:pPr>
      <w:r w:rsidRPr="0059378C">
        <w:t xml:space="preserve">Texas Trust Code Section 114.007 provides that a settlor may exculpate a trustee from liability other than for: </w:t>
      </w:r>
      <w:r w:rsidR="00767102">
        <w:t>“</w:t>
      </w:r>
      <w:r w:rsidRPr="0059378C">
        <w:t xml:space="preserve">(1) a breach of trust committed (A) in </w:t>
      </w:r>
      <w:r w:rsidRPr="0059378C">
        <w:lastRenderedPageBreak/>
        <w:t>bad faith; (B) intentionally; or (C) with reckless indifference to the interest of a beneficiary; or (2) any profit derived by the trustee from a breach of trust.</w:t>
      </w:r>
      <w:r w:rsidR="00767102">
        <w:t>”</w:t>
      </w:r>
      <w:r w:rsidRPr="0059378C">
        <w:rPr>
          <w:rStyle w:val="FootnoteReference"/>
        </w:rPr>
        <w:footnoteReference w:id="394"/>
      </w:r>
      <w:r w:rsidRPr="0059378C">
        <w:t xml:space="preserve">  </w:t>
      </w:r>
      <w:r w:rsidR="00767102">
        <w:t>“</w:t>
      </w:r>
      <w:r w:rsidRPr="0059378C">
        <w:t>Additionally, some settlors provide that an uncompensated trustee, either by choice or by instrument, shall be entitled to a higher level of exoneration than a compensated trustee.</w:t>
      </w:r>
      <w:r w:rsidR="00767102">
        <w:t>”</w:t>
      </w:r>
      <w:r w:rsidRPr="0059378C">
        <w:rPr>
          <w:rStyle w:val="FootnoteReference"/>
        </w:rPr>
        <w:footnoteReference w:id="395"/>
      </w:r>
    </w:p>
    <w:p w14:paraId="6E2134E6" w14:textId="69C534CA" w:rsidR="003A0665" w:rsidRDefault="003A0665" w:rsidP="00561F7C">
      <w:pPr>
        <w:pStyle w:val="b-bodytext"/>
        <w:spacing w:line="480" w:lineRule="auto"/>
      </w:pPr>
      <w:r w:rsidRPr="0059378C">
        <w:t>However, a broadly-drafted exculpation clause may exonerate the trustee for acts other than those for which liability cannot be exculpated.</w:t>
      </w:r>
      <w:r w:rsidRPr="0059378C">
        <w:rPr>
          <w:rStyle w:val="FootnoteReference"/>
        </w:rPr>
        <w:footnoteReference w:id="396"/>
      </w:r>
    </w:p>
    <w:p w14:paraId="4D872517" w14:textId="77777777" w:rsidR="00272013" w:rsidRPr="0059378C" w:rsidRDefault="00272013" w:rsidP="00561F7C">
      <w:pPr>
        <w:pStyle w:val="b-bodytext"/>
        <w:spacing w:line="480" w:lineRule="auto"/>
      </w:pPr>
    </w:p>
    <w:tbl>
      <w:tblPr>
        <w:tblStyle w:val="TableGrid"/>
        <w:tblW w:w="0" w:type="auto"/>
        <w:jc w:val="center"/>
        <w:shd w:val="pct5" w:color="auto" w:fill="auto"/>
        <w:tblLook w:val="04A0" w:firstRow="1" w:lastRow="0" w:firstColumn="1" w:lastColumn="0" w:noHBand="0" w:noVBand="1"/>
      </w:tblPr>
      <w:tblGrid>
        <w:gridCol w:w="6710"/>
      </w:tblGrid>
      <w:tr w:rsidR="003A0665" w:rsidRPr="0059378C" w14:paraId="4C7FAAB5" w14:textId="77777777" w:rsidTr="00D3595A">
        <w:trPr>
          <w:jc w:val="center"/>
        </w:trPr>
        <w:tc>
          <w:tcPr>
            <w:tcW w:w="7699" w:type="dxa"/>
            <w:shd w:val="pct5" w:color="auto" w:fill="auto"/>
          </w:tcPr>
          <w:p w14:paraId="0AF74E33" w14:textId="77777777" w:rsidR="003A0665" w:rsidRPr="00272013" w:rsidRDefault="003A0665" w:rsidP="00561F7C">
            <w:pPr>
              <w:spacing w:line="480" w:lineRule="auto"/>
              <w:jc w:val="both"/>
              <w:rPr>
                <w:rFonts w:ascii="Times New Roman" w:hAnsi="Times New Roman" w:cs="Times New Roman"/>
                <w:sz w:val="22"/>
                <w:szCs w:val="22"/>
              </w:rPr>
            </w:pPr>
            <w:r w:rsidRPr="00272013">
              <w:rPr>
                <w:rFonts w:ascii="Times New Roman" w:hAnsi="Times New Roman" w:cs="Times New Roman"/>
                <w:sz w:val="22"/>
                <w:szCs w:val="22"/>
              </w:rPr>
              <w:t>This instrument shall always be construed in favor of the validity of any action or inaction by any trustee, and a trustee shall not be liable for any action or inaction except in the case of a breach of trust committed in bad faith, intentionally; or with reckless indifference to the interest of a beneficiary.</w:t>
            </w:r>
          </w:p>
        </w:tc>
      </w:tr>
    </w:tbl>
    <w:p w14:paraId="58C4B3B9" w14:textId="77777777" w:rsidR="003A0665" w:rsidRPr="0059378C" w:rsidRDefault="003A0665" w:rsidP="00561F7C">
      <w:pPr>
        <w:spacing w:line="480" w:lineRule="auto"/>
      </w:pPr>
    </w:p>
    <w:p w14:paraId="7A51A0B2" w14:textId="516679E7" w:rsidR="003A0665" w:rsidRPr="0059378C" w:rsidRDefault="00F44C39" w:rsidP="00561F7C">
      <w:pPr>
        <w:pStyle w:val="b-bodytext"/>
        <w:spacing w:line="480" w:lineRule="auto"/>
      </w:pPr>
      <w:r w:rsidRPr="0059378C">
        <w:t xml:space="preserve">Alternatively, </w:t>
      </w:r>
      <w:r w:rsidR="00A47D31">
        <w:t>“</w:t>
      </w:r>
      <w:r w:rsidRPr="0059378C">
        <w:t>an</w:t>
      </w:r>
      <w:r w:rsidR="003A0665" w:rsidRPr="0059378C">
        <w:t xml:space="preserve"> exculpation provision can stipulate other exclusions from exculpation.</w:t>
      </w:r>
      <w:r w:rsidR="00A47D31">
        <w:t>”</w:t>
      </w:r>
      <w:r w:rsidR="003A0665" w:rsidRPr="0059378C">
        <w:rPr>
          <w:rStyle w:val="FootnoteReference"/>
        </w:rPr>
        <w:footnoteReference w:id="397"/>
      </w:r>
      <w:r w:rsidR="003A0665" w:rsidRPr="0059378C">
        <w:t xml:space="preserve">  </w:t>
      </w:r>
      <w:r w:rsidR="00A47D31">
        <w:t>However,</w:t>
      </w:r>
      <w:r w:rsidR="00A47D31" w:rsidRPr="0059378C">
        <w:t xml:space="preserve"> </w:t>
      </w:r>
      <w:r w:rsidR="00A47D31">
        <w:t>be sure to carefully draft these</w:t>
      </w:r>
      <w:r w:rsidR="00A47D31" w:rsidRPr="0059378C">
        <w:t xml:space="preserve"> </w:t>
      </w:r>
      <w:r w:rsidR="003A0665" w:rsidRPr="0059378C">
        <w:t xml:space="preserve">provisions </w:t>
      </w:r>
      <w:r w:rsidR="00A47D31">
        <w:t>“</w:t>
      </w:r>
      <w:r w:rsidR="003A0665" w:rsidRPr="0059378C">
        <w:t xml:space="preserve">because an exception from exoneration can lead to unintended </w:t>
      </w:r>
      <w:r w:rsidR="003A0665" w:rsidRPr="0059378C">
        <w:lastRenderedPageBreak/>
        <w:t>consequence.</w:t>
      </w:r>
      <w:r w:rsidR="00A47D31">
        <w:t>”</w:t>
      </w:r>
      <w:r w:rsidR="003A0665" w:rsidRPr="0059378C">
        <w:rPr>
          <w:rStyle w:val="FootnoteReference"/>
        </w:rPr>
        <w:footnoteReference w:id="398"/>
      </w:r>
      <w:r w:rsidR="003A0665" w:rsidRPr="0059378C">
        <w:t xml:space="preserve">  For </w:t>
      </w:r>
      <w:r w:rsidR="00A47D31">
        <w:t>instance</w:t>
      </w:r>
      <w:r w:rsidR="003A0665" w:rsidRPr="0059378C">
        <w:t>, a trustee</w:t>
      </w:r>
      <w:r w:rsidR="001A6DCB">
        <w:t>’</w:t>
      </w:r>
      <w:r w:rsidR="003A0665" w:rsidRPr="0059378C">
        <w:t xml:space="preserve">s failure to disclose </w:t>
      </w:r>
      <w:r w:rsidR="00A47D31">
        <w:t>could b</w:t>
      </w:r>
      <w:r w:rsidR="003A0665" w:rsidRPr="0059378C">
        <w:t>e fraud.</w:t>
      </w:r>
      <w:r w:rsidR="003A0665" w:rsidRPr="0059378C">
        <w:rPr>
          <w:rStyle w:val="FootnoteReference"/>
        </w:rPr>
        <w:footnoteReference w:id="399"/>
      </w:r>
    </w:p>
    <w:p w14:paraId="288EC048" w14:textId="77777777" w:rsidR="003A0665" w:rsidRDefault="003A0665" w:rsidP="00561F7C">
      <w:pPr>
        <w:pStyle w:val="a-1stSubHd"/>
        <w:spacing w:line="480" w:lineRule="auto"/>
      </w:pPr>
      <w:bookmarkStart w:id="139" w:name="_Toc7167231"/>
      <w:bookmarkStart w:id="140" w:name="_Toc31203650"/>
      <w:r w:rsidRPr="0059378C">
        <w:t>V.  Conclusion</w:t>
      </w:r>
      <w:bookmarkEnd w:id="139"/>
      <w:bookmarkEnd w:id="140"/>
    </w:p>
    <w:p w14:paraId="1B584860" w14:textId="2C283236" w:rsidR="00D732E4" w:rsidRPr="00F14DE3" w:rsidRDefault="003A0665" w:rsidP="00561F7C">
      <w:pPr>
        <w:pStyle w:val="b-bodytext"/>
        <w:spacing w:line="480" w:lineRule="auto"/>
      </w:pPr>
      <w:r w:rsidRPr="0059378C">
        <w:t>Understanding the ins and outs of any given profession is important for those setting the rules and guidelines for performing the job.</w:t>
      </w:r>
      <w:r w:rsidRPr="0059378C">
        <w:rPr>
          <w:rStyle w:val="FootnoteReference"/>
        </w:rPr>
        <w:footnoteReference w:id="400"/>
      </w:r>
      <w:r w:rsidRPr="0059378C">
        <w:t xml:space="preserve">  In order to best advise clients and prepare trust instruments, attorneys need to more fully appreciate and understand the role of trustee and the nitty gritty of trust administration to hinder intent, as well as how to work within the law to establish a trust that achieves a client</w:t>
      </w:r>
      <w:r w:rsidR="001A6DCB">
        <w:t>’</w:t>
      </w:r>
      <w:r w:rsidRPr="0059378C">
        <w:t>s objectives.</w:t>
      </w:r>
      <w:r w:rsidRPr="0059378C">
        <w:rPr>
          <w:rStyle w:val="FootnoteReference"/>
        </w:rPr>
        <w:footnoteReference w:id="401"/>
      </w:r>
    </w:p>
    <w:sectPr w:rsidR="00D732E4" w:rsidRPr="00F14DE3" w:rsidSect="006F49F8">
      <w:headerReference w:type="even" r:id="rId15"/>
      <w:headerReference w:type="default" r:id="rId16"/>
      <w:footerReference w:type="even" r:id="rId17"/>
      <w:footerReference w:type="default" r:id="rId18"/>
      <w:footerReference w:type="first" r:id="rId19"/>
      <w:type w:val="continuous"/>
      <w:pgSz w:w="12240" w:h="15840" w:code="1"/>
      <w:pgMar w:top="1920" w:right="2760" w:bottom="1920" w:left="2760" w:header="1920" w:footer="19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Katherine Akinc" w:date="2020-03-14T08:38:00Z" w:initials="KA">
    <w:p w14:paraId="05A8DA75" w14:textId="2459339D" w:rsidR="00D46CAB" w:rsidRDefault="00D46CAB">
      <w:pPr>
        <w:pStyle w:val="CommentText"/>
      </w:pPr>
      <w:r w:rsidRPr="00D46CAB">
        <w:rPr>
          <w:rStyle w:val="CommentReference"/>
          <w:highlight w:val="yellow"/>
        </w:rPr>
        <w:annotationRef/>
      </w:r>
      <w:r w:rsidRPr="00D46CAB">
        <w:rPr>
          <w:highlight w:val="yellow"/>
        </w:rPr>
        <w:t>Taylor – can I provide sample language here?</w:t>
      </w:r>
    </w:p>
  </w:comment>
  <w:comment w:id="57" w:author="Katherine Akinc" w:date="2020-03-14T08:52:00Z" w:initials="KA">
    <w:p w14:paraId="220B0C0B" w14:textId="4E6C4747" w:rsidR="00230AF9" w:rsidRDefault="00230AF9">
      <w:pPr>
        <w:pStyle w:val="CommentText"/>
      </w:pPr>
      <w:r>
        <w:rPr>
          <w:rStyle w:val="CommentReference"/>
        </w:rPr>
        <w:annotationRef/>
      </w:r>
      <w:r>
        <w:t>Can you explain why this sentence was removed?</w:t>
      </w:r>
    </w:p>
  </w:comment>
  <w:comment w:id="78" w:author="Katherine Akinc" w:date="2020-03-14T09:33:00Z" w:initials="KA">
    <w:p w14:paraId="26D7D10A" w14:textId="01C02725" w:rsidR="00242341" w:rsidRDefault="00242341">
      <w:pPr>
        <w:pStyle w:val="CommentText"/>
      </w:pPr>
      <w:r>
        <w:rPr>
          <w:rStyle w:val="CommentReference"/>
        </w:rPr>
        <w:annotationRef/>
      </w:r>
      <w:r w:rsidRPr="00242341">
        <w:rPr>
          <w:highlight w:val="yellow"/>
        </w:rPr>
        <w:t>I think this was defined earlier in the article. Will you check?</w:t>
      </w:r>
    </w:p>
  </w:comment>
  <w:comment w:id="83" w:author="Katherine Akinc" w:date="2020-03-14T09:40:00Z" w:initials="KA">
    <w:p w14:paraId="03981890" w14:textId="74208486" w:rsidR="00242341" w:rsidRDefault="00242341">
      <w:pPr>
        <w:pStyle w:val="CommentText"/>
      </w:pPr>
      <w:r>
        <w:rPr>
          <w:rStyle w:val="CommentReference"/>
        </w:rPr>
        <w:annotationRef/>
      </w:r>
      <w:r>
        <w:t>Add footnote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A8DA75" w15:done="0"/>
  <w15:commentEx w15:paraId="220B0C0B" w15:done="0"/>
  <w15:commentEx w15:paraId="26D7D10A" w15:done="0"/>
  <w15:commentEx w15:paraId="039818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17168E" w16cex:dateUtc="2020-03-14T13:38:00Z"/>
  <w16cex:commentExtensible w16cex:durableId="221719C5" w16cex:dateUtc="2020-03-14T13:52:00Z"/>
  <w16cex:commentExtensible w16cex:durableId="22172370" w16cex:dateUtc="2020-03-14T14:33:00Z"/>
  <w16cex:commentExtensible w16cex:durableId="2217250B" w16cex:dateUtc="2020-03-14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A8DA75" w16cid:durableId="2217168E"/>
  <w16cid:commentId w16cid:paraId="220B0C0B" w16cid:durableId="221719C5"/>
  <w16cid:commentId w16cid:paraId="26D7D10A" w16cid:durableId="22172370"/>
  <w16cid:commentId w16cid:paraId="03981890" w16cid:durableId="221725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FE32" w14:textId="77777777" w:rsidR="00DA2565" w:rsidRDefault="00DA2565">
      <w:r>
        <w:separator/>
      </w:r>
    </w:p>
  </w:endnote>
  <w:endnote w:type="continuationSeparator" w:id="0">
    <w:p w14:paraId="3FCDC3BA" w14:textId="77777777" w:rsidR="00DA2565" w:rsidRDefault="00DA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ADDON">
    <w:altName w:val="Calibri"/>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200642"/>
      <w:docPartObj>
        <w:docPartGallery w:val="Page Numbers (Bottom of Page)"/>
        <w:docPartUnique/>
      </w:docPartObj>
    </w:sdtPr>
    <w:sdtEndPr>
      <w:rPr>
        <w:noProof/>
      </w:rPr>
    </w:sdtEndPr>
    <w:sdtContent>
      <w:p w14:paraId="78C4D1AE" w14:textId="681584D4" w:rsidR="00EC65C6" w:rsidRDefault="00EC65C6" w:rsidP="001412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443252"/>
      <w:docPartObj>
        <w:docPartGallery w:val="Page Numbers (Bottom of Page)"/>
        <w:docPartUnique/>
      </w:docPartObj>
    </w:sdtPr>
    <w:sdtEndPr>
      <w:rPr>
        <w:noProof/>
      </w:rPr>
    </w:sdtEndPr>
    <w:sdtContent>
      <w:p w14:paraId="54A817AC" w14:textId="478675D1" w:rsidR="00EC65C6" w:rsidRDefault="00EC65C6" w:rsidP="001412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486C" w14:textId="77777777" w:rsidR="0070346C" w:rsidRDefault="0070346C" w:rsidP="006F49F8">
    <w:pPr>
      <w:jc w:val="center"/>
    </w:pPr>
  </w:p>
  <w:p w14:paraId="1B58486D" w14:textId="77777777" w:rsidR="0070346C" w:rsidRDefault="0070346C" w:rsidP="006F49F8">
    <w:pPr>
      <w:jc w:val="center"/>
    </w:pPr>
  </w:p>
  <w:p w14:paraId="1B58486E" w14:textId="77777777" w:rsidR="0070346C" w:rsidRDefault="0070346C" w:rsidP="006F49F8">
    <w:pPr>
      <w:jc w:val="center"/>
    </w:pPr>
  </w:p>
  <w:p w14:paraId="1B58486F" w14:textId="52F7F455" w:rsidR="0070346C" w:rsidRDefault="0070346C" w:rsidP="006F49F8">
    <w:pPr>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CB7F" w14:textId="77777777" w:rsidR="00DA2565" w:rsidRPr="00A9773E" w:rsidRDefault="00DA2565" w:rsidP="00A9773E">
      <w:r>
        <w:continuationSeparator/>
      </w:r>
    </w:p>
  </w:footnote>
  <w:footnote w:type="continuationSeparator" w:id="0">
    <w:p w14:paraId="4B0D8891" w14:textId="77777777" w:rsidR="00DA2565" w:rsidRDefault="00DA2565">
      <w:r>
        <w:continuationSeparator/>
      </w:r>
    </w:p>
  </w:footnote>
  <w:footnote w:id="1">
    <w:p w14:paraId="35D5DC3A" w14:textId="5DF1CD5E"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Pr>
          <w:i/>
          <w:iCs/>
          <w:color w:val="000000"/>
          <w:szCs w:val="22"/>
        </w:rPr>
        <w:t>,</w:t>
      </w:r>
      <w:r w:rsidRPr="00E26603">
        <w:rPr>
          <w:i/>
          <w:iCs/>
          <w:color w:val="000000"/>
          <w:szCs w:val="22"/>
        </w:rPr>
        <w:t xml:space="preserve"> e.g.</w:t>
      </w:r>
      <w:r w:rsidRPr="00E26603">
        <w:rPr>
          <w:color w:val="000000"/>
          <w:szCs w:val="22"/>
        </w:rPr>
        <w:t>, Ditta v. Conte, 298 S.W.3d 18</w:t>
      </w:r>
      <w:r>
        <w:rPr>
          <w:color w:val="000000"/>
          <w:szCs w:val="22"/>
        </w:rPr>
        <w:t>7, 191</w:t>
      </w:r>
      <w:r w:rsidRPr="00E26603">
        <w:rPr>
          <w:color w:val="000000"/>
          <w:szCs w:val="22"/>
        </w:rPr>
        <w:t xml:space="preserve"> (</w:t>
      </w:r>
      <w:r>
        <w:rPr>
          <w:color w:val="000000"/>
          <w:szCs w:val="22"/>
        </w:rPr>
        <w:t xml:space="preserve">Tex. </w:t>
      </w:r>
      <w:r w:rsidRPr="00E26603">
        <w:rPr>
          <w:color w:val="000000"/>
          <w:szCs w:val="22"/>
        </w:rPr>
        <w:t>2009)</w:t>
      </w:r>
      <w:r>
        <w:rPr>
          <w:color w:val="000000"/>
          <w:szCs w:val="22"/>
        </w:rPr>
        <w:t xml:space="preserve"> (elaborating on the high fiduciary standard imposed on a trustee)</w:t>
      </w:r>
      <w:r w:rsidRPr="00E26603">
        <w:rPr>
          <w:color w:val="000000"/>
          <w:szCs w:val="22"/>
        </w:rPr>
        <w:t xml:space="preserve">; </w:t>
      </w:r>
      <w:r w:rsidRPr="00E26603">
        <w:rPr>
          <w:i/>
          <w:iCs/>
          <w:color w:val="000000"/>
          <w:szCs w:val="22"/>
        </w:rPr>
        <w:t>see generally</w:t>
      </w:r>
      <w:r w:rsidRPr="00E26603">
        <w:rPr>
          <w:color w:val="000000"/>
          <w:szCs w:val="22"/>
        </w:rPr>
        <w:t xml:space="preserve">, 72 </w:t>
      </w:r>
      <w:r w:rsidRPr="00E26603">
        <w:rPr>
          <w:smallCaps/>
          <w:color w:val="000000"/>
          <w:szCs w:val="22"/>
        </w:rPr>
        <w:t>Tex. Jur. 3d</w:t>
      </w:r>
      <w:r w:rsidRPr="00E26603">
        <w:rPr>
          <w:color w:val="000000"/>
          <w:szCs w:val="22"/>
        </w:rPr>
        <w:t xml:space="preserve"> </w:t>
      </w:r>
      <w:r w:rsidRPr="00E26603">
        <w:rPr>
          <w:i/>
          <w:iCs/>
          <w:color w:val="000000"/>
          <w:szCs w:val="22"/>
        </w:rPr>
        <w:t>Trusts</w:t>
      </w:r>
      <w:r w:rsidRPr="00E26603">
        <w:rPr>
          <w:color w:val="000000"/>
          <w:szCs w:val="22"/>
        </w:rPr>
        <w:t xml:space="preserve"> § 61</w:t>
      </w:r>
      <w:r>
        <w:rPr>
          <w:color w:val="000000"/>
          <w:szCs w:val="22"/>
        </w:rPr>
        <w:t xml:space="preserve"> (2020)</w:t>
      </w:r>
      <w:r w:rsidRPr="00E26603">
        <w:rPr>
          <w:color w:val="000000"/>
          <w:szCs w:val="22"/>
        </w:rPr>
        <w:t xml:space="preserve"> (“[h]igh fiduciary standards are imposed on trustees, who must handle trust property solely for the beneficiaries’ benefit.”)</w:t>
      </w:r>
      <w:r>
        <w:rPr>
          <w:color w:val="000000"/>
          <w:szCs w:val="22"/>
        </w:rPr>
        <w:t>.</w:t>
      </w:r>
    </w:p>
  </w:footnote>
  <w:footnote w:id="2">
    <w:p w14:paraId="686E757C" w14:textId="566F3AC1"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Pr>
          <w:i/>
          <w:iCs/>
          <w:color w:val="000000"/>
          <w:szCs w:val="22"/>
        </w:rPr>
        <w:t>,</w:t>
      </w:r>
      <w:r w:rsidRPr="00E26603">
        <w:rPr>
          <w:i/>
          <w:iCs/>
          <w:color w:val="000000"/>
          <w:szCs w:val="22"/>
        </w:rPr>
        <w:t xml:space="preserve"> e.g.</w:t>
      </w:r>
      <w:r w:rsidRPr="00E26603">
        <w:rPr>
          <w:color w:val="000000"/>
          <w:szCs w:val="22"/>
        </w:rPr>
        <w:t>, Herschbach v. City of Corpus Christi, 883 S.W.2d 720 (Tex. App.</w:t>
      </w:r>
      <w:r>
        <w:rPr>
          <w:color w:val="000000"/>
          <w:szCs w:val="22"/>
        </w:rPr>
        <w:t>—</w:t>
      </w:r>
      <w:r w:rsidRPr="00E26603">
        <w:rPr>
          <w:color w:val="000000"/>
          <w:szCs w:val="22"/>
        </w:rPr>
        <w:t>Corpus Christi 1994, writ denied</w:t>
      </w:r>
      <w:r>
        <w:rPr>
          <w:color w:val="000000"/>
          <w:szCs w:val="22"/>
        </w:rPr>
        <w:t xml:space="preserve"> (detailing duties and responsibilities owed by trusees); </w:t>
      </w:r>
      <w:r>
        <w:rPr>
          <w:i/>
          <w:iCs/>
          <w:color w:val="000000"/>
          <w:szCs w:val="22"/>
        </w:rPr>
        <w:t>s</w:t>
      </w:r>
      <w:r w:rsidRPr="00E26603">
        <w:rPr>
          <w:i/>
          <w:iCs/>
          <w:color w:val="000000"/>
          <w:szCs w:val="22"/>
        </w:rPr>
        <w:t>ee generally</w:t>
      </w:r>
      <w:r w:rsidRPr="00E26603">
        <w:rPr>
          <w:color w:val="000000"/>
          <w:szCs w:val="22"/>
        </w:rPr>
        <w:t xml:space="preserve">, </w:t>
      </w:r>
      <w:r w:rsidRPr="00E26603">
        <w:rPr>
          <w:smallCaps/>
          <w:color w:val="000000"/>
          <w:szCs w:val="22"/>
        </w:rPr>
        <w:t>72 Tex. Jur. 3d</w:t>
      </w:r>
      <w:r w:rsidRPr="00E26603">
        <w:rPr>
          <w:color w:val="000000"/>
          <w:szCs w:val="22"/>
        </w:rPr>
        <w:t xml:space="preserve"> </w:t>
      </w:r>
      <w:r w:rsidRPr="00E26603">
        <w:rPr>
          <w:i/>
          <w:iCs/>
          <w:color w:val="000000"/>
          <w:szCs w:val="22"/>
        </w:rPr>
        <w:t>Trusts</w:t>
      </w:r>
      <w:r w:rsidRPr="00E26603">
        <w:rPr>
          <w:color w:val="000000"/>
          <w:szCs w:val="22"/>
        </w:rPr>
        <w:t xml:space="preserve"> § 61</w:t>
      </w:r>
      <w:r w:rsidRPr="00E26603">
        <w:rPr>
          <w:i/>
          <w:iCs/>
          <w:color w:val="000000"/>
          <w:szCs w:val="22"/>
        </w:rPr>
        <w:t xml:space="preserve"> </w:t>
      </w:r>
      <w:r w:rsidRPr="00E26603">
        <w:rPr>
          <w:color w:val="000000"/>
          <w:szCs w:val="22"/>
        </w:rPr>
        <w:t>(“A trustee’s fundamental duties include the use of skill and prudence which an ordinary, capable, and careful person will use in the conduct of his or her own affairs as well as loyalty to the trust’s beneficiaries.”)</w:t>
      </w:r>
      <w:r>
        <w:rPr>
          <w:color w:val="000000"/>
          <w:szCs w:val="22"/>
        </w:rPr>
        <w:t>.</w:t>
      </w:r>
    </w:p>
  </w:footnote>
  <w:footnote w:id="3">
    <w:p w14:paraId="709DFCC5" w14:textId="17DA9A0E"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generally</w:t>
      </w:r>
      <w:r w:rsidRPr="00E26603">
        <w:rPr>
          <w:color w:val="000000"/>
          <w:szCs w:val="22"/>
        </w:rPr>
        <w:t xml:space="preserve">, 72 </w:t>
      </w:r>
      <w:r w:rsidRPr="00E26603">
        <w:rPr>
          <w:smallCaps/>
          <w:color w:val="000000"/>
          <w:szCs w:val="22"/>
        </w:rPr>
        <w:t>Tex. Jur. 3d</w:t>
      </w:r>
      <w:r w:rsidRPr="00E26603">
        <w:rPr>
          <w:color w:val="000000"/>
          <w:szCs w:val="22"/>
        </w:rPr>
        <w:t xml:space="preserve"> </w:t>
      </w:r>
      <w:r w:rsidRPr="00E26603">
        <w:rPr>
          <w:i/>
          <w:iCs/>
          <w:color w:val="000000"/>
          <w:szCs w:val="22"/>
        </w:rPr>
        <w:t>Trusts</w:t>
      </w:r>
      <w:r w:rsidRPr="00E26603">
        <w:rPr>
          <w:color w:val="000000"/>
          <w:szCs w:val="22"/>
        </w:rPr>
        <w:t xml:space="preserve"> § 152 (“[a] trustee owes a duty to the beneficiaries to make full disclosure of all facts and circumstances concerning the trustee’s dealings with the trust assets.”); </w:t>
      </w:r>
      <w:r w:rsidRPr="00E26603">
        <w:rPr>
          <w:i/>
          <w:iCs/>
          <w:color w:val="000000"/>
          <w:szCs w:val="22"/>
        </w:rPr>
        <w:t>see also</w:t>
      </w:r>
      <w:r w:rsidRPr="00E26603">
        <w:rPr>
          <w:color w:val="000000"/>
          <w:szCs w:val="22"/>
        </w:rPr>
        <w:t xml:space="preserve">, </w:t>
      </w:r>
      <w:r w:rsidRPr="00E26603">
        <w:rPr>
          <w:i/>
          <w:iCs/>
          <w:color w:val="000000"/>
          <w:szCs w:val="22"/>
        </w:rPr>
        <w:t>Why Naming the Right Trustee is Critical</w:t>
      </w:r>
      <w:r w:rsidRPr="00E26603">
        <w:rPr>
          <w:color w:val="000000"/>
          <w:szCs w:val="22"/>
        </w:rPr>
        <w:t xml:space="preserve">, </w:t>
      </w:r>
      <w:r w:rsidRPr="00E26603">
        <w:rPr>
          <w:smallCaps/>
          <w:color w:val="000000"/>
          <w:szCs w:val="22"/>
        </w:rPr>
        <w:t>fidelity.com</w:t>
      </w:r>
      <w:r w:rsidRPr="00E26603">
        <w:rPr>
          <w:color w:val="000000"/>
          <w:szCs w:val="22"/>
        </w:rPr>
        <w:t xml:space="preserve"> (Nov. 16, 2018), </w:t>
      </w:r>
      <w:r w:rsidRPr="00690525">
        <w:rPr>
          <w:color w:val="000000"/>
          <w:szCs w:val="22"/>
        </w:rPr>
        <w:t>https://www.fidelity.com/viewpoints/wealth-management/naming-the-right-trustee</w:t>
      </w:r>
      <w:r w:rsidRPr="00690525">
        <w:rPr>
          <w:rStyle w:val="Hyperlink"/>
          <w:color w:val="000000"/>
          <w:szCs w:val="22"/>
          <w:u w:val="none"/>
        </w:rPr>
        <w:t xml:space="preserve"> </w:t>
      </w:r>
      <w:r>
        <w:rPr>
          <w:rStyle w:val="Hyperlink"/>
          <w:color w:val="000000"/>
          <w:szCs w:val="22"/>
          <w:u w:val="none"/>
        </w:rPr>
        <w:t xml:space="preserve"> [perma.cc/A6JM-D4RS]</w:t>
      </w:r>
      <w:r w:rsidRPr="00690525">
        <w:rPr>
          <w:rStyle w:val="Hyperlink"/>
          <w:color w:val="000000"/>
          <w:szCs w:val="22"/>
          <w:u w:val="none"/>
        </w:rPr>
        <w:t xml:space="preserve"> (</w:t>
      </w:r>
      <w:r>
        <w:rPr>
          <w:rStyle w:val="Hyperlink"/>
          <w:color w:val="000000"/>
          <w:szCs w:val="22"/>
          <w:u w:val="none"/>
        </w:rPr>
        <w:t>providing</w:t>
      </w:r>
      <w:r w:rsidRPr="00690525">
        <w:rPr>
          <w:rStyle w:val="Hyperlink"/>
          <w:color w:val="000000"/>
          <w:szCs w:val="22"/>
          <w:u w:val="none"/>
        </w:rPr>
        <w:t xml:space="preserve"> reasons for why selecting the right trustee is crucially important).</w:t>
      </w:r>
    </w:p>
  </w:footnote>
  <w:footnote w:id="4">
    <w:p w14:paraId="77F712E4" w14:textId="431D5B1A"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w:t>
      </w:r>
      <w:r w:rsidRPr="00E26603">
        <w:rPr>
          <w:i/>
          <w:iCs/>
          <w:color w:val="000000"/>
          <w:szCs w:val="22"/>
        </w:rPr>
        <w:t xml:space="preserve">ee  </w:t>
      </w:r>
      <w:r w:rsidRPr="00E26603">
        <w:rPr>
          <w:color w:val="000000"/>
          <w:szCs w:val="22"/>
        </w:rPr>
        <w:t>State v. Gulbankian, 196 N.W.2d 733</w:t>
      </w:r>
      <w:r>
        <w:rPr>
          <w:color w:val="000000"/>
          <w:szCs w:val="22"/>
        </w:rPr>
        <w:t xml:space="preserve">, 727 </w:t>
      </w:r>
      <w:r w:rsidRPr="00E26603">
        <w:rPr>
          <w:color w:val="000000"/>
          <w:szCs w:val="22"/>
        </w:rPr>
        <w:t>(Wis. 1972) (the court noted that an attorney assisting as an executor “is an area in which it is difficult to police professional standards. . .”).</w:t>
      </w:r>
    </w:p>
  </w:footnote>
  <w:footnote w:id="5">
    <w:p w14:paraId="5C9CA272" w14:textId="320A1DF0"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t>Questions posed by the author for purposes of this article</w:t>
      </w:r>
      <w:r w:rsidRPr="00E26603">
        <w:rPr>
          <w:color w:val="000000"/>
          <w:szCs w:val="22"/>
        </w:rPr>
        <w:t>.</w:t>
      </w:r>
    </w:p>
  </w:footnote>
  <w:footnote w:id="6">
    <w:p w14:paraId="0010E5BB" w14:textId="5019E98A"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690525">
        <w:rPr>
          <w:i/>
          <w:iCs/>
          <w:color w:val="000000"/>
          <w:szCs w:val="22"/>
        </w:rPr>
        <w:t>Id</w:t>
      </w:r>
      <w:r w:rsidRPr="00690525">
        <w:rPr>
          <w:i/>
          <w:color w:val="000000"/>
          <w:szCs w:val="22"/>
        </w:rPr>
        <w:t>.</w:t>
      </w:r>
    </w:p>
  </w:footnote>
  <w:footnote w:id="7">
    <w:p w14:paraId="2349E325" w14:textId="4D14BAA3"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690525">
        <w:rPr>
          <w:i/>
          <w:iCs/>
          <w:color w:val="000000"/>
          <w:szCs w:val="22"/>
        </w:rPr>
        <w:t>Id</w:t>
      </w:r>
      <w:r w:rsidRPr="00690525">
        <w:rPr>
          <w:i/>
          <w:color w:val="000000"/>
          <w:szCs w:val="22"/>
        </w:rPr>
        <w:t>.</w:t>
      </w:r>
    </w:p>
  </w:footnote>
  <w:footnote w:id="8">
    <w:p w14:paraId="649BBC5C" w14:textId="193D19F1"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supra</w:t>
      </w:r>
      <w:r w:rsidRPr="00E26603">
        <w:rPr>
          <w:color w:val="000000"/>
          <w:szCs w:val="22"/>
        </w:rPr>
        <w:t xml:space="preserve"> text accompanying notes 1–3.</w:t>
      </w:r>
    </w:p>
  </w:footnote>
  <w:footnote w:id="9">
    <w:p w14:paraId="286C9C72" w14:textId="22788AD5"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sidRPr="00690525">
        <w:rPr>
          <w:iCs/>
          <w:color w:val="000000"/>
          <w:szCs w:val="22"/>
        </w:rPr>
        <w:t xml:space="preserve"> </w:t>
      </w:r>
      <w:r w:rsidRPr="00E26603">
        <w:rPr>
          <w:color w:val="000000"/>
          <w:szCs w:val="22"/>
        </w:rPr>
        <w:t>Tex. Disciplinary R. Prof’l Conduct R. 1.02(a</w:t>
      </w:r>
      <w:r w:rsidRPr="00E26603">
        <w:rPr>
          <w:color w:val="000000"/>
          <w:szCs w:val="22"/>
        </w:rPr>
        <w:t>)(1</w:t>
      </w:r>
      <w:r>
        <w:rPr>
          <w:i/>
          <w:iCs/>
          <w:color w:val="000000"/>
          <w:szCs w:val="22"/>
        </w:rPr>
        <w:t>; s</w:t>
      </w:r>
      <w:r w:rsidRPr="00E26603">
        <w:rPr>
          <w:i/>
          <w:iCs/>
          <w:color w:val="000000"/>
          <w:szCs w:val="22"/>
        </w:rPr>
        <w:t>ee also</w:t>
      </w:r>
      <w:r w:rsidRPr="00690525">
        <w:rPr>
          <w:iCs/>
          <w:color w:val="000000"/>
          <w:szCs w:val="22"/>
        </w:rPr>
        <w:t xml:space="preserve"> </w:t>
      </w:r>
      <w:r>
        <w:rPr>
          <w:iCs/>
          <w:smallCaps/>
          <w:color w:val="000000"/>
          <w:szCs w:val="22"/>
        </w:rPr>
        <w:t xml:space="preserve">Ronald R. Cresswell et al., </w:t>
      </w:r>
      <w:r w:rsidRPr="00E26603">
        <w:rPr>
          <w:smallCaps/>
          <w:color w:val="000000"/>
          <w:szCs w:val="22"/>
        </w:rPr>
        <w:t>Tex. Prac. Guide Wills, Trusts, &amp; Est. Plan.</w:t>
      </w:r>
      <w:r w:rsidRPr="00E26603">
        <w:rPr>
          <w:color w:val="000000"/>
          <w:szCs w:val="22"/>
        </w:rPr>
        <w:t xml:space="preserve"> </w:t>
      </w:r>
      <w:r>
        <w:rPr>
          <w:color w:val="000000"/>
          <w:szCs w:val="22"/>
        </w:rPr>
        <w:t>§</w:t>
      </w:r>
      <w:r w:rsidRPr="00E26603">
        <w:rPr>
          <w:color w:val="000000"/>
          <w:szCs w:val="22"/>
        </w:rPr>
        <w:t>§ 5:</w:t>
      </w:r>
      <w:r>
        <w:rPr>
          <w:color w:val="000000"/>
          <w:szCs w:val="22"/>
        </w:rPr>
        <w:t>3, 5:121</w:t>
      </w:r>
      <w:r w:rsidRPr="00E26603">
        <w:rPr>
          <w:color w:val="000000"/>
          <w:szCs w:val="22"/>
        </w:rPr>
        <w:t xml:space="preserve"> (“[t]he language of the settlor of a trust must demonstrate that he or she intended to impose an imperative obligation. . . Additionally, since the trust relationship is a relatively complicated one being generally a three-party relationship in which a trustee owes a high duty of loyalty to the beneficiary the instrument should specify the details concerned with the execution and administration of the trust.”).</w:t>
      </w:r>
    </w:p>
  </w:footnote>
  <w:footnote w:id="10">
    <w:p w14:paraId="69BA9ABA" w14:textId="1F23BA4F"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e.g.</w:t>
      </w:r>
      <w:r w:rsidRPr="00E26603">
        <w:rPr>
          <w:color w:val="000000"/>
          <w:szCs w:val="22"/>
        </w:rPr>
        <w:t xml:space="preserve">, </w:t>
      </w:r>
      <w:r>
        <w:rPr>
          <w:iCs/>
          <w:smallCaps/>
          <w:color w:val="000000"/>
          <w:szCs w:val="22"/>
        </w:rPr>
        <w:t xml:space="preserve">Cresswell et al., </w:t>
      </w:r>
      <w:r>
        <w:rPr>
          <w:i/>
          <w:color w:val="000000"/>
          <w:szCs w:val="22"/>
        </w:rPr>
        <w:t>supra</w:t>
      </w:r>
      <w:r>
        <w:rPr>
          <w:iCs/>
          <w:color w:val="000000"/>
          <w:szCs w:val="22"/>
        </w:rPr>
        <w:t xml:space="preserve"> note </w:t>
      </w:r>
      <w:r>
        <w:rPr>
          <w:iCs/>
          <w:color w:val="000000"/>
          <w:szCs w:val="22"/>
        </w:rPr>
        <w:fldChar w:fldCharType="begin"/>
      </w:r>
      <w:r>
        <w:rPr>
          <w:iCs/>
          <w:color w:val="000000"/>
          <w:szCs w:val="22"/>
        </w:rPr>
        <w:instrText xml:space="preserve"> NOTEREF _Ref33802168 \h  \* MERGEFORMAT </w:instrText>
      </w:r>
      <w:r>
        <w:rPr>
          <w:iCs/>
          <w:color w:val="000000"/>
          <w:szCs w:val="22"/>
        </w:rPr>
      </w:r>
      <w:r>
        <w:rPr>
          <w:iCs/>
          <w:color w:val="000000"/>
          <w:szCs w:val="22"/>
        </w:rPr>
        <w:fldChar w:fldCharType="separate"/>
      </w:r>
      <w:r>
        <w:rPr>
          <w:iCs/>
          <w:color w:val="000000"/>
          <w:szCs w:val="22"/>
        </w:rPr>
        <w:t>9</w:t>
      </w:r>
      <w:r>
        <w:rPr>
          <w:iCs/>
          <w:color w:val="000000"/>
          <w:szCs w:val="22"/>
        </w:rPr>
        <w:fldChar w:fldCharType="end"/>
      </w:r>
      <w:r>
        <w:rPr>
          <w:iCs/>
          <w:color w:val="000000"/>
          <w:szCs w:val="22"/>
        </w:rPr>
        <w:t xml:space="preserve">, § 5:359–76 </w:t>
      </w:r>
      <w:r w:rsidRPr="00E26603">
        <w:rPr>
          <w:color w:val="000000"/>
          <w:szCs w:val="22"/>
        </w:rPr>
        <w:t>(giving an overview of the duties and responsibilities of a trustee).</w:t>
      </w:r>
    </w:p>
  </w:footnote>
  <w:footnote w:id="11">
    <w:p w14:paraId="36CEBF31" w14:textId="5318984A"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Pr>
          <w:i/>
          <w:iCs/>
          <w:color w:val="000000"/>
          <w:szCs w:val="22"/>
        </w:rPr>
        <w:t xml:space="preserve"> id.</w:t>
      </w:r>
    </w:p>
  </w:footnote>
  <w:footnote w:id="12">
    <w:p w14:paraId="34898AAD" w14:textId="135C0A8A"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supra</w:t>
      </w:r>
      <w:r w:rsidRPr="00E26603">
        <w:rPr>
          <w:color w:val="000000"/>
          <w:szCs w:val="22"/>
        </w:rPr>
        <w:t xml:space="preserve"> text accompanying notes 1–3</w:t>
      </w:r>
      <w:r>
        <w:rPr>
          <w:color w:val="000000"/>
          <w:szCs w:val="22"/>
        </w:rPr>
        <w:t xml:space="preserve">; </w:t>
      </w:r>
      <w:r w:rsidRPr="00E26603">
        <w:rPr>
          <w:smallCaps/>
          <w:color w:val="000000"/>
          <w:szCs w:val="22"/>
        </w:rPr>
        <w:t>Tex. Prop. Code</w:t>
      </w:r>
      <w:r w:rsidRPr="00E26603">
        <w:rPr>
          <w:color w:val="000000"/>
          <w:szCs w:val="22"/>
        </w:rPr>
        <w:t xml:space="preserve"> </w:t>
      </w:r>
      <w:r w:rsidRPr="00E26603">
        <w:rPr>
          <w:smallCaps/>
          <w:color w:val="000000"/>
          <w:szCs w:val="22"/>
        </w:rPr>
        <w:t>Ann.</w:t>
      </w:r>
      <w:r w:rsidRPr="00B3695E">
        <w:rPr>
          <w:color w:val="000000"/>
          <w:szCs w:val="22"/>
        </w:rPr>
        <w:t xml:space="preserve"> </w:t>
      </w:r>
      <w:r w:rsidRPr="00E26603">
        <w:rPr>
          <w:color w:val="000000"/>
          <w:szCs w:val="22"/>
        </w:rPr>
        <w:t>§ 111.004(18) (defining trustee as “the person holding the property in trust, including an original, additional, or successor trustee, whether or not the person is appointed or confirmed by a court.”)</w:t>
      </w:r>
      <w:r>
        <w:rPr>
          <w:color w:val="000000"/>
          <w:szCs w:val="22"/>
        </w:rPr>
        <w:t>.</w:t>
      </w:r>
    </w:p>
  </w:footnote>
  <w:footnote w:id="13">
    <w:p w14:paraId="1B99DA74" w14:textId="42E9973E"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Pr>
          <w:i/>
          <w:iCs/>
          <w:color w:val="000000"/>
          <w:szCs w:val="22"/>
        </w:rPr>
        <w:t xml:space="preserve"> </w:t>
      </w:r>
      <w:r>
        <w:rPr>
          <w:iCs/>
          <w:smallCaps/>
          <w:color w:val="000000"/>
          <w:szCs w:val="22"/>
        </w:rPr>
        <w:t xml:space="preserve">Cresswell et al., </w:t>
      </w:r>
      <w:r>
        <w:rPr>
          <w:i/>
          <w:color w:val="000000"/>
          <w:szCs w:val="22"/>
        </w:rPr>
        <w:t>supra</w:t>
      </w:r>
      <w:r>
        <w:rPr>
          <w:iCs/>
          <w:color w:val="000000"/>
          <w:szCs w:val="22"/>
        </w:rPr>
        <w:t xml:space="preserve"> note </w:t>
      </w:r>
      <w:r>
        <w:rPr>
          <w:iCs/>
          <w:color w:val="000000"/>
          <w:szCs w:val="22"/>
        </w:rPr>
        <w:fldChar w:fldCharType="begin"/>
      </w:r>
      <w:r>
        <w:rPr>
          <w:iCs/>
          <w:color w:val="000000"/>
          <w:szCs w:val="22"/>
        </w:rPr>
        <w:instrText xml:space="preserve"> NOTEREF _Ref33802168 \h  \* MERGEFORMAT </w:instrText>
      </w:r>
      <w:r>
        <w:rPr>
          <w:iCs/>
          <w:color w:val="000000"/>
          <w:szCs w:val="22"/>
        </w:rPr>
      </w:r>
      <w:r>
        <w:rPr>
          <w:iCs/>
          <w:color w:val="000000"/>
          <w:szCs w:val="22"/>
        </w:rPr>
        <w:fldChar w:fldCharType="separate"/>
      </w:r>
      <w:r>
        <w:rPr>
          <w:iCs/>
          <w:color w:val="000000"/>
          <w:szCs w:val="22"/>
        </w:rPr>
        <w:t>9</w:t>
      </w:r>
      <w:r>
        <w:rPr>
          <w:iCs/>
          <w:color w:val="000000"/>
          <w:szCs w:val="22"/>
        </w:rPr>
        <w:fldChar w:fldCharType="end"/>
      </w:r>
      <w:r>
        <w:rPr>
          <w:iCs/>
          <w:color w:val="000000"/>
          <w:szCs w:val="22"/>
        </w:rPr>
        <w:t>, §§ 5:332–345 (</w:t>
      </w:r>
      <w:r w:rsidRPr="00E26603">
        <w:rPr>
          <w:color w:val="000000"/>
          <w:szCs w:val="22"/>
        </w:rPr>
        <w:t>provid</w:t>
      </w:r>
      <w:r>
        <w:rPr>
          <w:color w:val="000000"/>
          <w:szCs w:val="22"/>
        </w:rPr>
        <w:t xml:space="preserve">ing </w:t>
      </w:r>
      <w:r w:rsidRPr="00E26603">
        <w:rPr>
          <w:color w:val="000000"/>
          <w:szCs w:val="22"/>
        </w:rPr>
        <w:t>numerous factors to be considered in choosing a trustee, including size and complexity of the trust, conflicts of interest, expenses, etc.)</w:t>
      </w:r>
      <w:r>
        <w:rPr>
          <w:color w:val="000000"/>
          <w:szCs w:val="22"/>
        </w:rPr>
        <w:t xml:space="preserve"> (</w:t>
      </w:r>
      <w:r w:rsidRPr="00E26603">
        <w:rPr>
          <w:color w:val="000000"/>
          <w:szCs w:val="22"/>
        </w:rPr>
        <w:t>Note: all references in this article to the “Texas Trust Code” are to the Texas Trust Code, which is codified in Article 9 of the Texas Property Code</w:t>
      </w:r>
      <w:r>
        <w:rPr>
          <w:color w:val="000000"/>
          <w:szCs w:val="22"/>
        </w:rPr>
        <w:t>).</w:t>
      </w:r>
    </w:p>
  </w:footnote>
  <w:footnote w:id="14">
    <w:p w14:paraId="785E522E" w14:textId="03516EE6"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t xml:space="preserve">David Barbour and Barbara G. McComas, </w:t>
      </w:r>
      <w:r>
        <w:rPr>
          <w:i/>
          <w:iCs/>
          <w:color w:val="000000"/>
          <w:szCs w:val="22"/>
        </w:rPr>
        <w:t>Selecting a Trustee: Income Tax and Estate Tax Consideration</w:t>
      </w:r>
      <w:r>
        <w:rPr>
          <w:color w:val="000000"/>
          <w:szCs w:val="22"/>
        </w:rPr>
        <w:t xml:space="preserve">, 33 </w:t>
      </w:r>
      <w:r w:rsidRPr="00460DFB">
        <w:rPr>
          <w:smallCaps/>
          <w:color w:val="000000"/>
          <w:szCs w:val="22"/>
        </w:rPr>
        <w:t>Sw. L. J</w:t>
      </w:r>
      <w:r>
        <w:rPr>
          <w:color w:val="000000"/>
          <w:szCs w:val="22"/>
        </w:rPr>
        <w:t>. 635 (1979).</w:t>
      </w:r>
    </w:p>
  </w:footnote>
  <w:footnote w:id="15">
    <w:p w14:paraId="558397D6" w14:textId="59635208" w:rsidR="0070346C" w:rsidRPr="004F2F0A"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t xml:space="preserve">Alan R. Bromberg &amp; E.B. Fortson, </w:t>
      </w:r>
      <w:r w:rsidRPr="0014127B">
        <w:rPr>
          <w:i/>
          <w:iCs/>
          <w:color w:val="000000"/>
          <w:szCs w:val="22"/>
        </w:rPr>
        <w:t>Selection of a Trustee; Tax and Other Considerations</w:t>
      </w:r>
      <w:r>
        <w:rPr>
          <w:color w:val="000000"/>
          <w:szCs w:val="22"/>
        </w:rPr>
        <w:t xml:space="preserve">, 19 </w:t>
      </w:r>
      <w:r w:rsidRPr="0014127B">
        <w:rPr>
          <w:smallCaps/>
          <w:color w:val="000000"/>
          <w:szCs w:val="22"/>
        </w:rPr>
        <w:t>Sw. L. J</w:t>
      </w:r>
      <w:r>
        <w:rPr>
          <w:color w:val="000000"/>
          <w:szCs w:val="22"/>
        </w:rPr>
        <w:t>. 523, 527–29 (1965).</w:t>
      </w:r>
    </w:p>
  </w:footnote>
  <w:footnote w:id="16">
    <w:p w14:paraId="3464C097" w14:textId="7C836172"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Pr>
          <w:i/>
          <w:iCs/>
          <w:color w:val="000000"/>
          <w:szCs w:val="22"/>
        </w:rPr>
        <w:t xml:space="preserve"> id.</w:t>
      </w:r>
    </w:p>
  </w:footnote>
  <w:footnote w:id="17">
    <w:p w14:paraId="183D1E26" w14:textId="45A9FA52"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generally</w:t>
      </w:r>
      <w:r w:rsidRPr="00E26603">
        <w:rPr>
          <w:color w:val="000000"/>
          <w:szCs w:val="22"/>
        </w:rPr>
        <w:t xml:space="preserve">, </w:t>
      </w:r>
      <w:r>
        <w:rPr>
          <w:i/>
          <w:iCs/>
          <w:color w:val="000000"/>
          <w:szCs w:val="22"/>
        </w:rPr>
        <w:t>6 reasons you should consider a trust</w:t>
      </w:r>
      <w:r w:rsidRPr="00E26603">
        <w:rPr>
          <w:color w:val="000000"/>
          <w:szCs w:val="22"/>
        </w:rPr>
        <w:t xml:space="preserve">, </w:t>
      </w:r>
      <w:r>
        <w:rPr>
          <w:smallCaps/>
          <w:color w:val="000000"/>
          <w:szCs w:val="22"/>
        </w:rPr>
        <w:t>Fidelity</w:t>
      </w:r>
      <w:r>
        <w:rPr>
          <w:color w:val="000000"/>
          <w:szCs w:val="22"/>
        </w:rPr>
        <w:t xml:space="preserve"> (April 12, 2019</w:t>
      </w:r>
      <w:r w:rsidRPr="00E26603">
        <w:rPr>
          <w:color w:val="000000"/>
          <w:szCs w:val="22"/>
        </w:rPr>
        <w:t xml:space="preserve">), </w:t>
      </w:r>
      <w:r w:rsidRPr="00D82284">
        <w:rPr>
          <w:color w:val="000000"/>
          <w:szCs w:val="22"/>
        </w:rPr>
        <w:t>https://www.fidelity.com/viewpoints/personal-finance/reasons-to-consider-a-trust</w:t>
      </w:r>
      <w:r>
        <w:rPr>
          <w:color w:val="000000"/>
          <w:szCs w:val="22"/>
        </w:rPr>
        <w:t xml:space="preserve"> [perma.cc/52JY-WTCY]</w:t>
      </w:r>
      <w:r w:rsidRPr="00E26603">
        <w:rPr>
          <w:color w:val="000000"/>
          <w:szCs w:val="22"/>
        </w:rPr>
        <w:t xml:space="preserve"> (</w:t>
      </w:r>
      <w:r>
        <w:rPr>
          <w:color w:val="000000"/>
          <w:szCs w:val="22"/>
        </w:rPr>
        <w:t>providing</w:t>
      </w:r>
      <w:r w:rsidRPr="00E26603">
        <w:rPr>
          <w:color w:val="000000"/>
          <w:szCs w:val="22"/>
        </w:rPr>
        <w:t xml:space="preserve"> a general overview on trusts and the purposes for creating one).</w:t>
      </w:r>
    </w:p>
  </w:footnote>
  <w:footnote w:id="18">
    <w:p w14:paraId="7BBA619B" w14:textId="24F508E3"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Pr>
          <w:i/>
          <w:iCs/>
          <w:color w:val="000000"/>
          <w:szCs w:val="22"/>
        </w:rPr>
        <w:t xml:space="preserve"> </w:t>
      </w:r>
      <w:r>
        <w:rPr>
          <w:iCs/>
          <w:smallCaps/>
          <w:color w:val="000000"/>
          <w:szCs w:val="22"/>
        </w:rPr>
        <w:t xml:space="preserve">Cresswell et al., </w:t>
      </w:r>
      <w:r>
        <w:rPr>
          <w:i/>
          <w:color w:val="000000"/>
          <w:szCs w:val="22"/>
        </w:rPr>
        <w:t>supra</w:t>
      </w:r>
      <w:r>
        <w:rPr>
          <w:iCs/>
          <w:color w:val="000000"/>
          <w:szCs w:val="22"/>
        </w:rPr>
        <w:t xml:space="preserve"> note </w:t>
      </w:r>
      <w:r>
        <w:rPr>
          <w:iCs/>
          <w:color w:val="000000"/>
          <w:szCs w:val="22"/>
        </w:rPr>
        <w:fldChar w:fldCharType="begin"/>
      </w:r>
      <w:r>
        <w:rPr>
          <w:iCs/>
          <w:color w:val="000000"/>
          <w:szCs w:val="22"/>
        </w:rPr>
        <w:instrText xml:space="preserve"> NOTEREF _Ref33802168 \h  \* MERGEFORMAT </w:instrText>
      </w:r>
      <w:r>
        <w:rPr>
          <w:iCs/>
          <w:color w:val="000000"/>
          <w:szCs w:val="22"/>
        </w:rPr>
      </w:r>
      <w:r>
        <w:rPr>
          <w:iCs/>
          <w:color w:val="000000"/>
          <w:szCs w:val="22"/>
        </w:rPr>
        <w:fldChar w:fldCharType="separate"/>
      </w:r>
      <w:r>
        <w:rPr>
          <w:iCs/>
          <w:color w:val="000000"/>
          <w:szCs w:val="22"/>
        </w:rPr>
        <w:t>9</w:t>
      </w:r>
      <w:r>
        <w:rPr>
          <w:iCs/>
          <w:color w:val="000000"/>
          <w:szCs w:val="22"/>
        </w:rPr>
        <w:fldChar w:fldCharType="end"/>
      </w:r>
      <w:r>
        <w:rPr>
          <w:iCs/>
          <w:color w:val="000000"/>
          <w:szCs w:val="22"/>
        </w:rPr>
        <w:t>, §§ 5:331–342.</w:t>
      </w:r>
    </w:p>
  </w:footnote>
  <w:footnote w:id="19">
    <w:p w14:paraId="755D13D2" w14:textId="5050932F"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id.</w:t>
      </w:r>
      <w:r>
        <w:rPr>
          <w:color w:val="000000"/>
          <w:szCs w:val="22"/>
        </w:rPr>
        <w:t xml:space="preserve">; </w:t>
      </w:r>
      <w:r>
        <w:rPr>
          <w:i/>
          <w:iCs/>
          <w:color w:val="000000"/>
          <w:szCs w:val="22"/>
        </w:rPr>
        <w:t>s</w:t>
      </w:r>
      <w:r w:rsidRPr="00E26603">
        <w:rPr>
          <w:i/>
          <w:iCs/>
          <w:color w:val="000000"/>
          <w:szCs w:val="22"/>
        </w:rPr>
        <w:t>ee generally</w:t>
      </w:r>
      <w:r w:rsidRPr="00E26603">
        <w:rPr>
          <w:color w:val="000000"/>
          <w:szCs w:val="22"/>
        </w:rPr>
        <w:t xml:space="preserve">, </w:t>
      </w:r>
      <w:r w:rsidRPr="00E26603">
        <w:rPr>
          <w:i/>
          <w:iCs/>
          <w:color w:val="000000"/>
          <w:szCs w:val="22"/>
        </w:rPr>
        <w:t>Understanding the Duties and Responsibilities of a Trustee</w:t>
      </w:r>
      <w:r w:rsidRPr="00E26603">
        <w:rPr>
          <w:color w:val="000000"/>
          <w:szCs w:val="22"/>
        </w:rPr>
        <w:t xml:space="preserve">, </w:t>
      </w:r>
      <w:r w:rsidRPr="00E26603">
        <w:rPr>
          <w:smallCaps/>
          <w:color w:val="000000"/>
          <w:szCs w:val="22"/>
        </w:rPr>
        <w:t>estateplanning.com</w:t>
      </w:r>
      <w:r w:rsidRPr="00E26603">
        <w:rPr>
          <w:color w:val="000000"/>
          <w:szCs w:val="22"/>
        </w:rPr>
        <w:t xml:space="preserve">, </w:t>
      </w:r>
      <w:r w:rsidRPr="00B3695E">
        <w:rPr>
          <w:color w:val="000000"/>
          <w:szCs w:val="22"/>
        </w:rPr>
        <w:t>https://www.estateplanning.com/Duties-and-Responsibilities-of-a-Trustee/</w:t>
      </w:r>
      <w:r w:rsidRPr="00E26603">
        <w:rPr>
          <w:color w:val="000000"/>
          <w:szCs w:val="22"/>
        </w:rPr>
        <w:t xml:space="preserve"> </w:t>
      </w:r>
      <w:r>
        <w:rPr>
          <w:color w:val="000000"/>
          <w:szCs w:val="22"/>
        </w:rPr>
        <w:t xml:space="preserve">[perma.cc/HH9U-9YMY] </w:t>
      </w:r>
      <w:r w:rsidRPr="00E26603">
        <w:rPr>
          <w:color w:val="000000"/>
          <w:szCs w:val="22"/>
        </w:rPr>
        <w:t>(last visited Jan. 21, 2020) (discussing the general concepts behind the duties and responsibilities of a trustee and what a trustee needs to know, e.g., familiarity with the various documents used in trusts).</w:t>
      </w:r>
      <w:r>
        <w:rPr>
          <w:color w:val="000000"/>
          <w:szCs w:val="22"/>
        </w:rPr>
        <w:t xml:space="preserve"> </w:t>
      </w:r>
    </w:p>
  </w:footnote>
  <w:footnote w:id="20">
    <w:p w14:paraId="0ECE506F" w14:textId="349A8876"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Pr>
          <w:iCs/>
          <w:smallCaps/>
          <w:color w:val="000000"/>
          <w:szCs w:val="22"/>
        </w:rPr>
        <w:t xml:space="preserve">Cresswell et al., </w:t>
      </w:r>
      <w:r>
        <w:rPr>
          <w:i/>
          <w:color w:val="000000"/>
          <w:szCs w:val="22"/>
        </w:rPr>
        <w:t>supra</w:t>
      </w:r>
      <w:r>
        <w:rPr>
          <w:iCs/>
          <w:color w:val="000000"/>
          <w:szCs w:val="22"/>
        </w:rPr>
        <w:t xml:space="preserve"> note </w:t>
      </w:r>
      <w:r>
        <w:rPr>
          <w:iCs/>
          <w:color w:val="000000"/>
          <w:szCs w:val="22"/>
        </w:rPr>
        <w:fldChar w:fldCharType="begin"/>
      </w:r>
      <w:r>
        <w:rPr>
          <w:iCs/>
          <w:color w:val="000000"/>
          <w:szCs w:val="22"/>
        </w:rPr>
        <w:instrText xml:space="preserve"> NOTEREF _Ref33802168 \h  \* MERGEFORMAT </w:instrText>
      </w:r>
      <w:r>
        <w:rPr>
          <w:iCs/>
          <w:color w:val="000000"/>
          <w:szCs w:val="22"/>
        </w:rPr>
      </w:r>
      <w:r>
        <w:rPr>
          <w:iCs/>
          <w:color w:val="000000"/>
          <w:szCs w:val="22"/>
        </w:rPr>
        <w:fldChar w:fldCharType="separate"/>
      </w:r>
      <w:r>
        <w:rPr>
          <w:iCs/>
          <w:color w:val="000000"/>
          <w:szCs w:val="22"/>
        </w:rPr>
        <w:t>9</w:t>
      </w:r>
      <w:r>
        <w:rPr>
          <w:iCs/>
          <w:color w:val="000000"/>
          <w:szCs w:val="22"/>
        </w:rPr>
        <w:fldChar w:fldCharType="end"/>
      </w:r>
      <w:r>
        <w:rPr>
          <w:iCs/>
          <w:color w:val="000000"/>
          <w:szCs w:val="22"/>
        </w:rPr>
        <w:t xml:space="preserve">, </w:t>
      </w:r>
      <w:r w:rsidRPr="00E26603">
        <w:rPr>
          <w:color w:val="000000"/>
          <w:szCs w:val="22"/>
        </w:rPr>
        <w:t>§ 5:349 (discussing the benefits in hiring a corporate trustee, especially to deal with assets of considerable sizes).</w:t>
      </w:r>
    </w:p>
  </w:footnote>
  <w:footnote w:id="21">
    <w:p w14:paraId="1BF07098" w14:textId="7B4B268B"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 xml:space="preserve">See </w:t>
      </w:r>
      <w:r>
        <w:rPr>
          <w:i/>
          <w:iCs/>
          <w:color w:val="000000"/>
          <w:szCs w:val="22"/>
        </w:rPr>
        <w:t xml:space="preserve">id. </w:t>
      </w:r>
      <w:r w:rsidRPr="00E26603">
        <w:rPr>
          <w:color w:val="000000"/>
          <w:szCs w:val="22"/>
        </w:rPr>
        <w:t>§ 5:336 (discussing general conflicts of interests in determining who should be a trustee).</w:t>
      </w:r>
    </w:p>
  </w:footnote>
  <w:footnote w:id="22">
    <w:p w14:paraId="721C2885" w14:textId="7017C06C"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 xml:space="preserve">See </w:t>
      </w:r>
      <w:r>
        <w:rPr>
          <w:i/>
          <w:iCs/>
          <w:color w:val="000000"/>
          <w:szCs w:val="22"/>
        </w:rPr>
        <w:t>id.</w:t>
      </w:r>
      <w:r w:rsidRPr="00B3695E">
        <w:rPr>
          <w:color w:val="000000"/>
          <w:szCs w:val="22"/>
        </w:rPr>
        <w:t xml:space="preserve"> </w:t>
      </w:r>
      <w:r w:rsidRPr="00E26603">
        <w:rPr>
          <w:color w:val="000000"/>
          <w:szCs w:val="22"/>
        </w:rPr>
        <w:t>§§ 5:333–3</w:t>
      </w:r>
      <w:r>
        <w:rPr>
          <w:color w:val="000000"/>
          <w:szCs w:val="22"/>
        </w:rPr>
        <w:t>9</w:t>
      </w:r>
      <w:r w:rsidRPr="00E26603">
        <w:rPr>
          <w:color w:val="000000"/>
          <w:szCs w:val="22"/>
        </w:rPr>
        <w:t xml:space="preserve"> (explaining why larger and more complex trusts may require the assistance of an expert in the field who is familiar with the types of assets handled).</w:t>
      </w:r>
    </w:p>
  </w:footnote>
  <w:footnote w:id="23">
    <w:p w14:paraId="3D4B6416" w14:textId="5A3DED56"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 xml:space="preserve">See </w:t>
      </w:r>
      <w:r>
        <w:rPr>
          <w:i/>
          <w:iCs/>
          <w:color w:val="000000"/>
          <w:szCs w:val="22"/>
        </w:rPr>
        <w:t>id</w:t>
      </w:r>
      <w:r>
        <w:rPr>
          <w:color w:val="000000"/>
          <w:szCs w:val="22"/>
        </w:rPr>
        <w:t>.</w:t>
      </w:r>
    </w:p>
  </w:footnote>
  <w:footnote w:id="24">
    <w:p w14:paraId="104B7DE1" w14:textId="5FDB6472"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 xml:space="preserve">See </w:t>
      </w:r>
      <w:r>
        <w:rPr>
          <w:i/>
          <w:iCs/>
          <w:color w:val="000000"/>
          <w:szCs w:val="22"/>
        </w:rPr>
        <w:t>id</w:t>
      </w:r>
      <w:r>
        <w:rPr>
          <w:color w:val="000000"/>
          <w:szCs w:val="22"/>
        </w:rPr>
        <w:t xml:space="preserve">. </w:t>
      </w:r>
      <w:r w:rsidRPr="00E26603">
        <w:rPr>
          <w:color w:val="000000"/>
          <w:szCs w:val="22"/>
        </w:rPr>
        <w:t>§§ 5:</w:t>
      </w:r>
      <w:r>
        <w:rPr>
          <w:color w:val="000000"/>
          <w:szCs w:val="22"/>
        </w:rPr>
        <w:t>349</w:t>
      </w:r>
      <w:r w:rsidRPr="00E26603">
        <w:rPr>
          <w:color w:val="000000"/>
          <w:szCs w:val="22"/>
        </w:rPr>
        <w:t>–</w:t>
      </w:r>
      <w:r>
        <w:rPr>
          <w:color w:val="000000"/>
          <w:szCs w:val="22"/>
        </w:rPr>
        <w:t>52</w:t>
      </w:r>
      <w:r w:rsidRPr="00E26603">
        <w:rPr>
          <w:color w:val="000000"/>
          <w:szCs w:val="22"/>
        </w:rPr>
        <w:t xml:space="preserve"> (explaining why larger and more complex trusts may require the assistance of an expert in the field who is familiar with the types of assets handled).</w:t>
      </w:r>
    </w:p>
  </w:footnote>
  <w:footnote w:id="25">
    <w:p w14:paraId="3B28EB11" w14:textId="5F1432CF"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 xml:space="preserve">See </w:t>
      </w:r>
      <w:r>
        <w:rPr>
          <w:i/>
          <w:iCs/>
          <w:color w:val="000000"/>
          <w:szCs w:val="22"/>
        </w:rPr>
        <w:t>id</w:t>
      </w:r>
      <w:r>
        <w:rPr>
          <w:color w:val="000000"/>
          <w:szCs w:val="22"/>
        </w:rPr>
        <w:t xml:space="preserve">.; </w:t>
      </w:r>
      <w:r>
        <w:rPr>
          <w:i/>
          <w:iCs/>
          <w:color w:val="000000"/>
          <w:szCs w:val="22"/>
        </w:rPr>
        <w:t>s</w:t>
      </w:r>
      <w:r w:rsidRPr="00E26603">
        <w:rPr>
          <w:i/>
          <w:iCs/>
          <w:color w:val="000000"/>
          <w:szCs w:val="22"/>
        </w:rPr>
        <w:t xml:space="preserve">ee </w:t>
      </w:r>
      <w:r>
        <w:rPr>
          <w:i/>
          <w:iCs/>
          <w:color w:val="000000"/>
          <w:szCs w:val="22"/>
        </w:rPr>
        <w:t>also</w:t>
      </w:r>
      <w:r w:rsidRPr="00E26603">
        <w:rPr>
          <w:color w:val="000000"/>
          <w:szCs w:val="22"/>
        </w:rPr>
        <w:t xml:space="preserve">, </w:t>
      </w:r>
      <w:r w:rsidRPr="00E26603">
        <w:rPr>
          <w:i/>
          <w:iCs/>
          <w:color w:val="000000"/>
          <w:szCs w:val="22"/>
        </w:rPr>
        <w:t xml:space="preserve">Why Naming the Right Trustee </w:t>
      </w:r>
      <w:r>
        <w:rPr>
          <w:i/>
          <w:iCs/>
          <w:color w:val="000000"/>
          <w:szCs w:val="22"/>
        </w:rPr>
        <w:t>I</w:t>
      </w:r>
      <w:r w:rsidRPr="00E26603">
        <w:rPr>
          <w:i/>
          <w:iCs/>
          <w:color w:val="000000"/>
          <w:szCs w:val="22"/>
        </w:rPr>
        <w:t>s Critical</w:t>
      </w:r>
      <w:r w:rsidRPr="00E26603">
        <w:rPr>
          <w:color w:val="000000"/>
          <w:szCs w:val="22"/>
        </w:rPr>
        <w:t xml:space="preserve">, </w:t>
      </w:r>
      <w:r w:rsidRPr="00E26603">
        <w:rPr>
          <w:smallCaps/>
          <w:color w:val="000000"/>
          <w:szCs w:val="22"/>
        </w:rPr>
        <w:t>fidelity.com</w:t>
      </w:r>
      <w:r w:rsidRPr="00E26603">
        <w:rPr>
          <w:color w:val="000000"/>
          <w:szCs w:val="22"/>
        </w:rPr>
        <w:t xml:space="preserve"> (Nov. 16, 2018), </w:t>
      </w:r>
      <w:r w:rsidRPr="00B3695E">
        <w:rPr>
          <w:color w:val="000000"/>
          <w:szCs w:val="22"/>
        </w:rPr>
        <w:t>https://www.fidelity.com/viewpoints/wealth-management/naming-the-right-trustee</w:t>
      </w:r>
      <w:r w:rsidRPr="00B3695E">
        <w:rPr>
          <w:rStyle w:val="Hyperlink"/>
          <w:color w:val="000000"/>
          <w:szCs w:val="22"/>
          <w:u w:val="none"/>
        </w:rPr>
        <w:t xml:space="preserve"> </w:t>
      </w:r>
      <w:r>
        <w:rPr>
          <w:rStyle w:val="Hyperlink"/>
          <w:color w:val="000000"/>
          <w:szCs w:val="22"/>
          <w:u w:val="none"/>
        </w:rPr>
        <w:t>[perma.cc/NB7J-RCE4]</w:t>
      </w:r>
      <w:r w:rsidRPr="00B3695E">
        <w:rPr>
          <w:rStyle w:val="Hyperlink"/>
          <w:color w:val="000000"/>
          <w:szCs w:val="22"/>
          <w:u w:val="none"/>
        </w:rPr>
        <w:t xml:space="preserve"> (section offering the advantages of a corporate trustee).</w:t>
      </w:r>
    </w:p>
  </w:footnote>
  <w:footnote w:id="26">
    <w:p w14:paraId="4F04E684" w14:textId="6EEA1FBE" w:rsidR="0070346C" w:rsidRPr="00E26603" w:rsidRDefault="0070346C" w:rsidP="00561F7C">
      <w:pPr>
        <w:tabs>
          <w:tab w:val="right" w:pos="446"/>
          <w:tab w:val="left" w:pos="605"/>
        </w:tabs>
        <w:spacing w:line="480" w:lineRule="auto"/>
        <w:jc w:val="both"/>
        <w:rPr>
          <w:color w:val="000000"/>
          <w:sz w:val="16"/>
          <w:szCs w:val="22"/>
        </w:rPr>
      </w:pPr>
      <w:r>
        <w:rPr>
          <w:color w:val="000000"/>
          <w:sz w:val="16"/>
        </w:rPr>
        <w:tab/>
      </w:r>
      <w:r w:rsidRPr="00E26603">
        <w:rPr>
          <w:rStyle w:val="FootnoteReference"/>
          <w:color w:val="000000"/>
          <w:sz w:val="16"/>
          <w:vertAlign w:val="baseline"/>
        </w:rPr>
        <w:footnoteRef/>
      </w:r>
      <w:r>
        <w:rPr>
          <w:color w:val="000000"/>
          <w:sz w:val="16"/>
        </w:rPr>
        <w:t>.</w:t>
      </w:r>
      <w:r>
        <w:rPr>
          <w:color w:val="000000"/>
          <w:sz w:val="16"/>
        </w:rPr>
        <w:tab/>
      </w:r>
      <w:r w:rsidRPr="00E26603">
        <w:rPr>
          <w:i/>
          <w:iCs/>
          <w:color w:val="000000"/>
          <w:sz w:val="16"/>
        </w:rPr>
        <w:t>See generally</w:t>
      </w:r>
      <w:r w:rsidRPr="00E26603">
        <w:rPr>
          <w:color w:val="000000"/>
          <w:sz w:val="16"/>
        </w:rPr>
        <w:t xml:space="preserve">, </w:t>
      </w:r>
      <w:r w:rsidRPr="00E26603">
        <w:rPr>
          <w:i/>
          <w:iCs/>
          <w:color w:val="000000"/>
          <w:sz w:val="16"/>
        </w:rPr>
        <w:t xml:space="preserve">What </w:t>
      </w:r>
      <w:r>
        <w:rPr>
          <w:i/>
          <w:iCs/>
          <w:color w:val="000000"/>
          <w:sz w:val="16"/>
        </w:rPr>
        <w:t>I</w:t>
      </w:r>
      <w:r w:rsidRPr="00E26603">
        <w:rPr>
          <w:i/>
          <w:iCs/>
          <w:color w:val="000000"/>
          <w:sz w:val="16"/>
        </w:rPr>
        <w:t>s Involved in a Trust Administration?</w:t>
      </w:r>
      <w:r w:rsidRPr="00E26603">
        <w:rPr>
          <w:color w:val="000000"/>
          <w:sz w:val="16"/>
        </w:rPr>
        <w:t xml:space="preserve"> </w:t>
      </w:r>
      <w:r w:rsidRPr="00E26603">
        <w:rPr>
          <w:smallCaps/>
          <w:color w:val="000000"/>
          <w:sz w:val="16"/>
        </w:rPr>
        <w:t>glendorlaw.com</w:t>
      </w:r>
      <w:r>
        <w:rPr>
          <w:color w:val="000000"/>
          <w:sz w:val="16"/>
        </w:rPr>
        <w:t xml:space="preserve">, </w:t>
      </w:r>
      <w:r w:rsidRPr="00B3695E">
        <w:rPr>
          <w:color w:val="000000"/>
          <w:sz w:val="16"/>
        </w:rPr>
        <w:t>https://www.</w:t>
      </w:r>
      <w:r>
        <w:rPr>
          <w:color w:val="000000"/>
          <w:sz w:val="16"/>
        </w:rPr>
        <w:t xml:space="preserve"> </w:t>
      </w:r>
      <w:r w:rsidRPr="00B3695E">
        <w:rPr>
          <w:color w:val="000000"/>
          <w:sz w:val="16"/>
        </w:rPr>
        <w:t>glendoralaw.com/trust-administration/what-is-involved-in-a-trust-administration/</w:t>
      </w:r>
      <w:r>
        <w:rPr>
          <w:color w:val="000000"/>
          <w:sz w:val="16"/>
        </w:rPr>
        <w:t xml:space="preserve"> [perma.cc/BXT8-Z5WD] </w:t>
      </w:r>
      <w:r w:rsidRPr="00E26603">
        <w:rPr>
          <w:color w:val="000000"/>
          <w:sz w:val="16"/>
        </w:rPr>
        <w:t xml:space="preserve">(last visited Jan. 21, 2020) (suggesting that an initial trust administration may take anywhere between two and six months); </w:t>
      </w:r>
      <w:r>
        <w:rPr>
          <w:i/>
          <w:iCs/>
          <w:color w:val="000000"/>
          <w:sz w:val="16"/>
        </w:rPr>
        <w:t>see, e.g.</w:t>
      </w:r>
      <w:r w:rsidRPr="00B3695E">
        <w:rPr>
          <w:iCs/>
          <w:color w:val="000000"/>
          <w:sz w:val="16"/>
        </w:rPr>
        <w:t>,</w:t>
      </w:r>
      <w:r w:rsidRPr="00B3695E">
        <w:rPr>
          <w:color w:val="000000"/>
          <w:sz w:val="16"/>
        </w:rPr>
        <w:t xml:space="preserve"> </w:t>
      </w:r>
      <w:r w:rsidRPr="00E26603">
        <w:rPr>
          <w:color w:val="000000"/>
          <w:sz w:val="16"/>
        </w:rPr>
        <w:t xml:space="preserve">Karen S. Gerstner &amp; Associates, P.C., </w:t>
      </w:r>
      <w:r w:rsidRPr="00E26603">
        <w:rPr>
          <w:i/>
          <w:iCs/>
          <w:color w:val="000000"/>
          <w:sz w:val="16"/>
        </w:rPr>
        <w:t>What Every Trustee Ought to Know</w:t>
      </w:r>
      <w:r w:rsidRPr="00E26603">
        <w:rPr>
          <w:color w:val="000000"/>
          <w:sz w:val="16"/>
        </w:rPr>
        <w:t xml:space="preserve">, </w:t>
      </w:r>
      <w:r w:rsidRPr="00B3695E">
        <w:rPr>
          <w:color w:val="000000"/>
          <w:sz w:val="16"/>
        </w:rPr>
        <w:t>http://www.</w:t>
      </w:r>
      <w:r>
        <w:rPr>
          <w:color w:val="000000"/>
          <w:sz w:val="16"/>
        </w:rPr>
        <w:t xml:space="preserve"> </w:t>
      </w:r>
      <w:r w:rsidRPr="00B3695E">
        <w:rPr>
          <w:color w:val="000000"/>
          <w:sz w:val="16"/>
        </w:rPr>
        <w:t>gerstnerlaw.com/images/docs/What%20Every%20Trustee.pdf</w:t>
      </w:r>
      <w:r>
        <w:rPr>
          <w:color w:val="000000"/>
          <w:sz w:val="16"/>
          <w:szCs w:val="22"/>
        </w:rPr>
        <w:t xml:space="preserve"> [perma.cc/AYV5-WDNE]</w:t>
      </w:r>
      <w:r w:rsidRPr="00E26603">
        <w:rPr>
          <w:color w:val="000000"/>
          <w:sz w:val="16"/>
          <w:szCs w:val="22"/>
        </w:rPr>
        <w:t xml:space="preserve"> (last visited Jan. 21, 2020) (in summary, outlining that a trustee should “devote the time, energy, and expertise necessary for the trust estate in question; . . .”).</w:t>
      </w:r>
    </w:p>
  </w:footnote>
  <w:footnote w:id="27">
    <w:p w14:paraId="0A0C4826" w14:textId="26D0B2DD" w:rsidR="0070346C" w:rsidRPr="00AC4215"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w:t>
      </w:r>
      <w:r>
        <w:rPr>
          <w:color w:val="000000"/>
          <w:szCs w:val="22"/>
        </w:rPr>
        <w:t xml:space="preserve"> Gerstner,</w:t>
      </w:r>
      <w:r>
        <w:rPr>
          <w:i/>
          <w:iCs/>
          <w:color w:val="000000"/>
          <w:szCs w:val="22"/>
        </w:rPr>
        <w:t xml:space="preserve"> supra </w:t>
      </w:r>
      <w:r>
        <w:rPr>
          <w:color w:val="000000"/>
          <w:szCs w:val="22"/>
        </w:rPr>
        <w:t xml:space="preserve">note </w:t>
      </w:r>
      <w:r>
        <w:rPr>
          <w:color w:val="000000"/>
          <w:szCs w:val="22"/>
        </w:rPr>
        <w:fldChar w:fldCharType="begin"/>
      </w:r>
      <w:r>
        <w:rPr>
          <w:color w:val="000000"/>
          <w:szCs w:val="22"/>
        </w:rPr>
        <w:instrText xml:space="preserve"> NOTEREF _Ref33803071 \h  \* MERGEFORMAT </w:instrText>
      </w:r>
      <w:r>
        <w:rPr>
          <w:color w:val="000000"/>
          <w:szCs w:val="22"/>
        </w:rPr>
      </w:r>
      <w:r>
        <w:rPr>
          <w:color w:val="000000"/>
          <w:szCs w:val="22"/>
        </w:rPr>
        <w:fldChar w:fldCharType="separate"/>
      </w:r>
      <w:r>
        <w:rPr>
          <w:color w:val="000000"/>
          <w:szCs w:val="22"/>
        </w:rPr>
        <w:t>26</w:t>
      </w:r>
      <w:r>
        <w:rPr>
          <w:color w:val="000000"/>
          <w:szCs w:val="22"/>
        </w:rPr>
        <w:fldChar w:fldCharType="end"/>
      </w:r>
      <w:r>
        <w:rPr>
          <w:color w:val="000000"/>
          <w:szCs w:val="22"/>
        </w:rPr>
        <w:t xml:space="preserve"> (author drawing a general inference).</w:t>
      </w:r>
    </w:p>
  </w:footnote>
  <w:footnote w:id="28">
    <w:p w14:paraId="25F39477" w14:textId="5025C381" w:rsidR="0070346C" w:rsidRPr="00E26603" w:rsidRDefault="0070346C" w:rsidP="00561F7C">
      <w:pPr>
        <w:tabs>
          <w:tab w:val="right" w:pos="446"/>
          <w:tab w:val="left" w:pos="605"/>
        </w:tabs>
        <w:spacing w:line="480" w:lineRule="auto"/>
        <w:jc w:val="both"/>
        <w:rPr>
          <w:color w:val="000000"/>
          <w:sz w:val="16"/>
          <w:szCs w:val="22"/>
        </w:rPr>
      </w:pPr>
      <w:r>
        <w:rPr>
          <w:color w:val="000000"/>
          <w:sz w:val="16"/>
        </w:rPr>
        <w:tab/>
      </w:r>
      <w:r w:rsidRPr="00E26603">
        <w:rPr>
          <w:rStyle w:val="FootnoteReference"/>
          <w:color w:val="000000"/>
          <w:sz w:val="16"/>
          <w:vertAlign w:val="baseline"/>
        </w:rPr>
        <w:footnoteRef/>
      </w:r>
      <w:r>
        <w:rPr>
          <w:color w:val="000000"/>
          <w:sz w:val="16"/>
        </w:rPr>
        <w:t>.</w:t>
      </w:r>
      <w:r>
        <w:rPr>
          <w:color w:val="000000"/>
          <w:sz w:val="16"/>
        </w:rPr>
        <w:tab/>
      </w:r>
      <w:r>
        <w:rPr>
          <w:i/>
          <w:iCs/>
          <w:color w:val="000000"/>
          <w:sz w:val="16"/>
        </w:rPr>
        <w:t xml:space="preserve">See </w:t>
      </w:r>
      <w:r>
        <w:rPr>
          <w:i/>
          <w:iCs/>
          <w:color w:val="000000"/>
          <w:sz w:val="16"/>
        </w:rPr>
        <w:t xml:space="preserve">id </w:t>
      </w:r>
      <w:r>
        <w:rPr>
          <w:i/>
          <w:iCs/>
          <w:color w:val="000000"/>
          <w:sz w:val="16"/>
          <w:szCs w:val="22"/>
        </w:rPr>
        <w:t xml:space="preserve"> </w:t>
      </w:r>
      <w:r>
        <w:rPr>
          <w:color w:val="000000"/>
          <w:sz w:val="16"/>
          <w:szCs w:val="22"/>
        </w:rPr>
        <w:t>(</w:t>
      </w:r>
      <w:r w:rsidRPr="00E26603">
        <w:rPr>
          <w:color w:val="000000"/>
          <w:sz w:val="16"/>
          <w:szCs w:val="22"/>
        </w:rPr>
        <w:t>“[a] long response time, coupled with little or no communication, will cause the beneficiary to believe you are devoting inadequate time and attention to your responsibilities.</w:t>
      </w:r>
      <w:r>
        <w:rPr>
          <w:color w:val="000000"/>
          <w:sz w:val="16"/>
          <w:szCs w:val="22"/>
        </w:rPr>
        <w:t> </w:t>
      </w:r>
      <w:r w:rsidRPr="00E26603">
        <w:rPr>
          <w:color w:val="000000"/>
          <w:sz w:val="16"/>
          <w:szCs w:val="22"/>
        </w:rPr>
        <w:t>.</w:t>
      </w:r>
      <w:r>
        <w:rPr>
          <w:color w:val="000000"/>
          <w:sz w:val="16"/>
          <w:szCs w:val="22"/>
        </w:rPr>
        <w:t> </w:t>
      </w:r>
      <w:r w:rsidRPr="00E26603">
        <w:rPr>
          <w:color w:val="000000"/>
          <w:sz w:val="16"/>
          <w:szCs w:val="22"/>
        </w:rPr>
        <w:t>.</w:t>
      </w:r>
      <w:r>
        <w:rPr>
          <w:color w:val="000000"/>
          <w:sz w:val="16"/>
          <w:szCs w:val="22"/>
        </w:rPr>
        <w:t> </w:t>
      </w:r>
      <w:r w:rsidRPr="00E26603">
        <w:rPr>
          <w:color w:val="000000"/>
          <w:sz w:val="16"/>
          <w:szCs w:val="22"/>
        </w:rPr>
        <w:t>the importance of communication cannot be overemphasized.”).</w:t>
      </w:r>
    </w:p>
  </w:footnote>
  <w:footnote w:id="29">
    <w:p w14:paraId="0C936B5B" w14:textId="2CA3932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Id.</w:t>
      </w:r>
    </w:p>
  </w:footnote>
  <w:footnote w:id="30">
    <w:p w14:paraId="0E8A3889" w14:textId="3DFB2513"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B3695E">
        <w:rPr>
          <w:i/>
          <w:iCs/>
          <w:color w:val="000000"/>
          <w:szCs w:val="22"/>
        </w:rPr>
        <w:t>Id</w:t>
      </w:r>
      <w:r w:rsidRPr="00B3695E">
        <w:rPr>
          <w:i/>
          <w:color w:val="000000"/>
          <w:szCs w:val="22"/>
        </w:rPr>
        <w:t>.</w:t>
      </w:r>
    </w:p>
  </w:footnote>
  <w:footnote w:id="31">
    <w:p w14:paraId="67A79544" w14:textId="3039E171"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sidRPr="00B3695E">
        <w:rPr>
          <w:iCs/>
          <w:color w:val="000000"/>
          <w:szCs w:val="22"/>
        </w:rPr>
        <w:t xml:space="preserve"> </w:t>
      </w:r>
      <w:r w:rsidRPr="00E26603">
        <w:rPr>
          <w:color w:val="000000"/>
          <w:szCs w:val="22"/>
        </w:rPr>
        <w:t xml:space="preserve">Mary Randolph, </w:t>
      </w:r>
      <w:r w:rsidRPr="00E26603">
        <w:rPr>
          <w:i/>
          <w:iCs/>
          <w:color w:val="000000"/>
          <w:szCs w:val="22"/>
        </w:rPr>
        <w:t xml:space="preserve">Should You Serve as a </w:t>
      </w:r>
      <w:r w:rsidRPr="00E26603">
        <w:rPr>
          <w:i/>
          <w:iCs/>
          <w:color w:val="000000"/>
          <w:szCs w:val="22"/>
        </w:rPr>
        <w:t>Trustee?</w:t>
      </w:r>
      <w:r w:rsidRPr="00E26603">
        <w:rPr>
          <w:color w:val="000000"/>
          <w:szCs w:val="22"/>
        </w:rPr>
        <w:t xml:space="preserve">, </w:t>
      </w:r>
      <w:r w:rsidRPr="00E26603">
        <w:rPr>
          <w:smallCaps/>
          <w:color w:val="000000"/>
          <w:szCs w:val="22"/>
        </w:rPr>
        <w:t>Alllaw</w:t>
      </w:r>
      <w:r w:rsidRPr="00B3695E">
        <w:rPr>
          <w:color w:val="000000"/>
          <w:szCs w:val="22"/>
        </w:rPr>
        <w:t>, https://www.alllaw.com/</w:t>
      </w:r>
      <w:r>
        <w:rPr>
          <w:color w:val="000000"/>
          <w:szCs w:val="22"/>
        </w:rPr>
        <w:t xml:space="preserve"> </w:t>
      </w:r>
      <w:r w:rsidRPr="00B3695E">
        <w:rPr>
          <w:color w:val="000000"/>
          <w:szCs w:val="22"/>
        </w:rPr>
        <w:t>articles/nolo/wills-trusts/should-you-serve-trustee.html</w:t>
      </w:r>
      <w:r w:rsidRPr="00E26603">
        <w:rPr>
          <w:color w:val="000000"/>
          <w:szCs w:val="22"/>
        </w:rPr>
        <w:t xml:space="preserve"> </w:t>
      </w:r>
      <w:r>
        <w:rPr>
          <w:color w:val="000000"/>
          <w:szCs w:val="22"/>
        </w:rPr>
        <w:t xml:space="preserve">[perma.cc/ND6E-VWVW] </w:t>
      </w:r>
      <w:r w:rsidRPr="00E26603">
        <w:rPr>
          <w:color w:val="000000"/>
          <w:szCs w:val="22"/>
        </w:rPr>
        <w:t xml:space="preserve">(last </w:t>
      </w:r>
      <w:r>
        <w:rPr>
          <w:color w:val="000000"/>
          <w:szCs w:val="22"/>
        </w:rPr>
        <w:t>visit</w:t>
      </w:r>
      <w:r w:rsidRPr="00E26603">
        <w:rPr>
          <w:color w:val="000000"/>
          <w:szCs w:val="22"/>
        </w:rPr>
        <w:t>ed Jan. 20, 2020).</w:t>
      </w:r>
    </w:p>
  </w:footnote>
  <w:footnote w:id="32">
    <w:p w14:paraId="23164612" w14:textId="2271CF0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B3695E">
        <w:rPr>
          <w:i/>
          <w:iCs/>
          <w:color w:val="000000"/>
          <w:szCs w:val="22"/>
        </w:rPr>
        <w:t>Id</w:t>
      </w:r>
      <w:r w:rsidRPr="00B3695E">
        <w:rPr>
          <w:i/>
          <w:color w:val="000000"/>
          <w:szCs w:val="22"/>
        </w:rPr>
        <w:t>.</w:t>
      </w:r>
    </w:p>
  </w:footnote>
  <w:footnote w:id="33">
    <w:p w14:paraId="288AD763" w14:textId="76A79EA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Pr>
          <w:iCs/>
          <w:smallCaps/>
          <w:color w:val="000000"/>
          <w:szCs w:val="22"/>
        </w:rPr>
        <w:t xml:space="preserve">Cresswell et al., </w:t>
      </w:r>
      <w:r>
        <w:rPr>
          <w:i/>
          <w:color w:val="000000"/>
          <w:szCs w:val="22"/>
        </w:rPr>
        <w:t>supra</w:t>
      </w:r>
      <w:r>
        <w:rPr>
          <w:iCs/>
          <w:color w:val="000000"/>
          <w:szCs w:val="22"/>
        </w:rPr>
        <w:t xml:space="preserve"> note </w:t>
      </w:r>
      <w:r>
        <w:rPr>
          <w:iCs/>
          <w:color w:val="000000"/>
          <w:szCs w:val="22"/>
        </w:rPr>
        <w:fldChar w:fldCharType="begin"/>
      </w:r>
      <w:r>
        <w:rPr>
          <w:iCs/>
          <w:color w:val="000000"/>
          <w:szCs w:val="22"/>
        </w:rPr>
        <w:instrText xml:space="preserve"> NOTEREF _Ref33802168 \h  \* MERGEFORMAT </w:instrText>
      </w:r>
      <w:r>
        <w:rPr>
          <w:iCs/>
          <w:color w:val="000000"/>
          <w:szCs w:val="22"/>
        </w:rPr>
      </w:r>
      <w:r>
        <w:rPr>
          <w:iCs/>
          <w:color w:val="000000"/>
          <w:szCs w:val="22"/>
        </w:rPr>
        <w:fldChar w:fldCharType="separate"/>
      </w:r>
      <w:r>
        <w:rPr>
          <w:iCs/>
          <w:color w:val="000000"/>
          <w:szCs w:val="22"/>
        </w:rPr>
        <w:t>9</w:t>
      </w:r>
      <w:r>
        <w:rPr>
          <w:iCs/>
          <w:color w:val="000000"/>
          <w:szCs w:val="22"/>
        </w:rPr>
        <w:fldChar w:fldCharType="end"/>
      </w:r>
      <w:r>
        <w:rPr>
          <w:iCs/>
          <w:color w:val="000000"/>
          <w:szCs w:val="22"/>
        </w:rPr>
        <w:t xml:space="preserve">, </w:t>
      </w:r>
      <w:r w:rsidRPr="00E26603">
        <w:rPr>
          <w:color w:val="000000"/>
          <w:szCs w:val="22"/>
        </w:rPr>
        <w:t xml:space="preserve">§ </w:t>
      </w:r>
      <w:r>
        <w:rPr>
          <w:color w:val="000000"/>
          <w:szCs w:val="22"/>
        </w:rPr>
        <w:t>5:430.</w:t>
      </w:r>
    </w:p>
  </w:footnote>
  <w:footnote w:id="34">
    <w:p w14:paraId="7175C94D" w14:textId="0E9D271E" w:rsidR="0070346C" w:rsidRPr="00BE11CE" w:rsidRDefault="0070346C" w:rsidP="00561F7C">
      <w:pPr>
        <w:pStyle w:val="FootnoteText"/>
        <w:tabs>
          <w:tab w:val="clear" w:pos="600"/>
          <w:tab w:val="left" w:pos="605"/>
        </w:tabs>
        <w:spacing w:line="480" w:lineRule="auto"/>
        <w:rPr>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B3695E">
        <w:rPr>
          <w:i/>
          <w:iCs/>
          <w:color w:val="000000"/>
          <w:szCs w:val="22"/>
        </w:rPr>
        <w:t>Id</w:t>
      </w:r>
      <w:r w:rsidRPr="00B3695E">
        <w:rPr>
          <w:i/>
          <w:color w:val="000000"/>
          <w:szCs w:val="22"/>
        </w:rPr>
        <w:t>.</w:t>
      </w:r>
      <w:r>
        <w:rPr>
          <w:iCs/>
          <w:color w:val="000000"/>
          <w:szCs w:val="22"/>
        </w:rPr>
        <w:t xml:space="preserve"> § 5:361.</w:t>
      </w:r>
    </w:p>
  </w:footnote>
  <w:footnote w:id="35">
    <w:p w14:paraId="4EB89518" w14:textId="5C802C66"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Id.</w:t>
      </w:r>
      <w:r>
        <w:rPr>
          <w:color w:val="000000"/>
          <w:szCs w:val="22"/>
        </w:rPr>
        <w:t xml:space="preserve">; </w:t>
      </w:r>
      <w:r w:rsidRPr="00B3695E">
        <w:rPr>
          <w:smallCaps/>
          <w:color w:val="000000"/>
          <w:szCs w:val="22"/>
        </w:rPr>
        <w:t>Tex. Trust Code Ann.</w:t>
      </w:r>
      <w:r w:rsidRPr="00E26603">
        <w:rPr>
          <w:color w:val="000000"/>
          <w:szCs w:val="22"/>
        </w:rPr>
        <w:t xml:space="preserve"> §</w:t>
      </w:r>
      <w:r>
        <w:rPr>
          <w:color w:val="000000"/>
          <w:szCs w:val="22"/>
        </w:rPr>
        <w:t xml:space="preserve"> 117.</w:t>
      </w:r>
      <w:r w:rsidRPr="00E26603">
        <w:rPr>
          <w:color w:val="000000"/>
          <w:szCs w:val="22"/>
        </w:rPr>
        <w:t>007 (</w:t>
      </w:r>
      <w:r w:rsidRPr="0014127B">
        <w:rPr>
          <w:color w:val="000000"/>
          <w:szCs w:val="22"/>
          <w:highlight w:val="yellow"/>
        </w:rPr>
        <w:t>2019).</w:t>
      </w:r>
    </w:p>
  </w:footnote>
  <w:footnote w:id="36">
    <w:p w14:paraId="1A3C98F5" w14:textId="3A0DAB74"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Pr>
          <w:iCs/>
          <w:smallCaps/>
          <w:color w:val="000000"/>
          <w:szCs w:val="22"/>
        </w:rPr>
        <w:t xml:space="preserve">Cresswell et al., </w:t>
      </w:r>
      <w:r>
        <w:rPr>
          <w:i/>
          <w:color w:val="000000"/>
          <w:szCs w:val="22"/>
        </w:rPr>
        <w:t>supra</w:t>
      </w:r>
      <w:r>
        <w:rPr>
          <w:iCs/>
          <w:color w:val="000000"/>
          <w:szCs w:val="22"/>
        </w:rPr>
        <w:t xml:space="preserve"> note </w:t>
      </w:r>
      <w:r>
        <w:rPr>
          <w:iCs/>
          <w:color w:val="000000"/>
          <w:szCs w:val="22"/>
        </w:rPr>
        <w:fldChar w:fldCharType="begin"/>
      </w:r>
      <w:r>
        <w:rPr>
          <w:iCs/>
          <w:color w:val="000000"/>
          <w:szCs w:val="22"/>
        </w:rPr>
        <w:instrText xml:space="preserve"> NOTEREF _Ref33802168 \h  \* MERGEFORMAT </w:instrText>
      </w:r>
      <w:r>
        <w:rPr>
          <w:iCs/>
          <w:color w:val="000000"/>
          <w:szCs w:val="22"/>
        </w:rPr>
      </w:r>
      <w:r>
        <w:rPr>
          <w:iCs/>
          <w:color w:val="000000"/>
          <w:szCs w:val="22"/>
        </w:rPr>
        <w:fldChar w:fldCharType="separate"/>
      </w:r>
      <w:r>
        <w:rPr>
          <w:iCs/>
          <w:color w:val="000000"/>
          <w:szCs w:val="22"/>
        </w:rPr>
        <w:t>9</w:t>
      </w:r>
      <w:r>
        <w:rPr>
          <w:iCs/>
          <w:color w:val="000000"/>
          <w:szCs w:val="22"/>
        </w:rPr>
        <w:fldChar w:fldCharType="end"/>
      </w:r>
      <w:r>
        <w:rPr>
          <w:iCs/>
          <w:color w:val="000000"/>
          <w:szCs w:val="22"/>
        </w:rPr>
        <w:t xml:space="preserve">, </w:t>
      </w:r>
      <w:r w:rsidRPr="00E26603">
        <w:rPr>
          <w:color w:val="000000"/>
          <w:szCs w:val="22"/>
        </w:rPr>
        <w:t xml:space="preserve">§ </w:t>
      </w:r>
      <w:r>
        <w:rPr>
          <w:color w:val="000000"/>
          <w:szCs w:val="22"/>
        </w:rPr>
        <w:t>5:430.</w:t>
      </w:r>
    </w:p>
  </w:footnote>
  <w:footnote w:id="37">
    <w:p w14:paraId="21C49D50" w14:textId="338559DF"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Id.</w:t>
      </w:r>
      <w:r>
        <w:rPr>
          <w:color w:val="000000"/>
          <w:szCs w:val="22"/>
        </w:rPr>
        <w:t xml:space="preserve">; </w:t>
      </w:r>
      <w:r w:rsidRPr="00E26603">
        <w:rPr>
          <w:smallCaps/>
          <w:color w:val="000000"/>
          <w:szCs w:val="22"/>
        </w:rPr>
        <w:t>Tex. Trust Code Ann.</w:t>
      </w:r>
      <w:r w:rsidRPr="00E26603">
        <w:rPr>
          <w:color w:val="000000"/>
          <w:szCs w:val="22"/>
        </w:rPr>
        <w:t xml:space="preserve"> § 113.053; </w:t>
      </w:r>
      <w:r w:rsidRPr="00E26603">
        <w:rPr>
          <w:iCs/>
          <w:color w:val="000000"/>
          <w:szCs w:val="22"/>
        </w:rPr>
        <w:t>Texas Comm.</w:t>
      </w:r>
      <w:r>
        <w:rPr>
          <w:iCs/>
          <w:color w:val="000000"/>
          <w:szCs w:val="22"/>
        </w:rPr>
        <w:t xml:space="preserve"> </w:t>
      </w:r>
      <w:r w:rsidRPr="00E26603">
        <w:rPr>
          <w:iCs/>
          <w:color w:val="000000"/>
          <w:szCs w:val="22"/>
        </w:rPr>
        <w:t>Bank v. Grizzle</w:t>
      </w:r>
      <w:r w:rsidRPr="00E26603">
        <w:rPr>
          <w:color w:val="000000"/>
          <w:szCs w:val="22"/>
        </w:rPr>
        <w:t>, 96 S.W.3d 240</w:t>
      </w:r>
      <w:r>
        <w:rPr>
          <w:color w:val="000000"/>
          <w:szCs w:val="22"/>
        </w:rPr>
        <w:t>,</w:t>
      </w:r>
      <w:r w:rsidRPr="00E26603">
        <w:rPr>
          <w:color w:val="000000"/>
          <w:szCs w:val="22"/>
        </w:rPr>
        <w:t xml:space="preserve"> 251 (Tex. 2002).</w:t>
      </w:r>
    </w:p>
  </w:footnote>
  <w:footnote w:id="38">
    <w:p w14:paraId="0ED3C348" w14:textId="1DD5A10C"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Pr>
          <w:iCs/>
          <w:smallCaps/>
          <w:color w:val="000000"/>
          <w:szCs w:val="22"/>
        </w:rPr>
        <w:t xml:space="preserve">Cresswell et al., </w:t>
      </w:r>
      <w:r>
        <w:rPr>
          <w:i/>
          <w:color w:val="000000"/>
          <w:szCs w:val="22"/>
        </w:rPr>
        <w:t>supra</w:t>
      </w:r>
      <w:r>
        <w:rPr>
          <w:iCs/>
          <w:color w:val="000000"/>
          <w:szCs w:val="22"/>
        </w:rPr>
        <w:t xml:space="preserve"> note </w:t>
      </w:r>
      <w:r>
        <w:rPr>
          <w:iCs/>
          <w:color w:val="000000"/>
          <w:szCs w:val="22"/>
        </w:rPr>
        <w:fldChar w:fldCharType="begin"/>
      </w:r>
      <w:r>
        <w:rPr>
          <w:iCs/>
          <w:color w:val="000000"/>
          <w:szCs w:val="22"/>
        </w:rPr>
        <w:instrText xml:space="preserve"> NOTEREF _Ref33802168 \h  \* MERGEFORMAT </w:instrText>
      </w:r>
      <w:r>
        <w:rPr>
          <w:iCs/>
          <w:color w:val="000000"/>
          <w:szCs w:val="22"/>
        </w:rPr>
      </w:r>
      <w:r>
        <w:rPr>
          <w:iCs/>
          <w:color w:val="000000"/>
          <w:szCs w:val="22"/>
        </w:rPr>
        <w:fldChar w:fldCharType="separate"/>
      </w:r>
      <w:r>
        <w:rPr>
          <w:iCs/>
          <w:color w:val="000000"/>
          <w:szCs w:val="22"/>
        </w:rPr>
        <w:t>9</w:t>
      </w:r>
      <w:r>
        <w:rPr>
          <w:iCs/>
          <w:color w:val="000000"/>
          <w:szCs w:val="22"/>
        </w:rPr>
        <w:fldChar w:fldCharType="end"/>
      </w:r>
      <w:r>
        <w:rPr>
          <w:iCs/>
          <w:color w:val="000000"/>
          <w:szCs w:val="22"/>
        </w:rPr>
        <w:t xml:space="preserve">, </w:t>
      </w:r>
      <w:r w:rsidRPr="00E26603">
        <w:rPr>
          <w:color w:val="000000"/>
          <w:szCs w:val="22"/>
        </w:rPr>
        <w:t xml:space="preserve">§ </w:t>
      </w:r>
      <w:r>
        <w:rPr>
          <w:color w:val="000000"/>
          <w:szCs w:val="22"/>
        </w:rPr>
        <w:t xml:space="preserve">5:430; </w:t>
      </w:r>
      <w:r>
        <w:rPr>
          <w:i/>
          <w:color w:val="000000"/>
          <w:szCs w:val="22"/>
        </w:rPr>
        <w:t>s</w:t>
      </w:r>
      <w:r w:rsidRPr="00E26603">
        <w:rPr>
          <w:i/>
          <w:color w:val="000000"/>
          <w:szCs w:val="22"/>
        </w:rPr>
        <w:t>ee</w:t>
      </w:r>
      <w:r w:rsidRPr="00E26603">
        <w:rPr>
          <w:color w:val="000000"/>
          <w:szCs w:val="22"/>
        </w:rPr>
        <w:t xml:space="preserve"> </w:t>
      </w:r>
      <w:r w:rsidRPr="00E26603">
        <w:rPr>
          <w:iCs/>
          <w:color w:val="000000"/>
          <w:szCs w:val="22"/>
        </w:rPr>
        <w:t>Sassen v. Tanglegrove Townhouse Condo. Ass’n</w:t>
      </w:r>
      <w:r w:rsidRPr="00E26603">
        <w:rPr>
          <w:color w:val="000000"/>
          <w:szCs w:val="22"/>
        </w:rPr>
        <w:t xml:space="preserve">, 877 S.W.2d 489 (Tex. App.—Texarkana 1994, </w:t>
      </w:r>
      <w:r w:rsidRPr="0014127B">
        <w:rPr>
          <w:iCs/>
          <w:color w:val="000000"/>
          <w:szCs w:val="22"/>
        </w:rPr>
        <w:t>writ denied</w:t>
      </w:r>
      <w:r w:rsidRPr="00E26603">
        <w:rPr>
          <w:color w:val="000000"/>
          <w:szCs w:val="22"/>
        </w:rPr>
        <w:t>).</w:t>
      </w:r>
    </w:p>
  </w:footnote>
  <w:footnote w:id="39">
    <w:p w14:paraId="6CF763FD" w14:textId="227AEE84" w:rsidR="0070346C" w:rsidRPr="00BE11CE" w:rsidRDefault="0070346C" w:rsidP="00561F7C">
      <w:pPr>
        <w:pStyle w:val="FootnoteText"/>
        <w:tabs>
          <w:tab w:val="clear" w:pos="600"/>
          <w:tab w:val="left" w:pos="605"/>
        </w:tabs>
        <w:spacing w:line="480" w:lineRule="auto"/>
        <w:rPr>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B3695E">
        <w:rPr>
          <w:i/>
          <w:iCs/>
          <w:color w:val="000000"/>
          <w:szCs w:val="22"/>
        </w:rPr>
        <w:t>Id</w:t>
      </w:r>
      <w:r w:rsidRPr="00B3695E">
        <w:rPr>
          <w:i/>
          <w:color w:val="000000"/>
          <w:szCs w:val="22"/>
        </w:rPr>
        <w:t>.</w:t>
      </w:r>
      <w:r>
        <w:rPr>
          <w:iCs/>
          <w:color w:val="000000"/>
          <w:szCs w:val="22"/>
        </w:rPr>
        <w:t xml:space="preserve"> § 5:368.</w:t>
      </w:r>
    </w:p>
  </w:footnote>
  <w:footnote w:id="40">
    <w:p w14:paraId="69C3E202" w14:textId="5B2E008A" w:rsidR="0070346C" w:rsidRPr="00BE11CE" w:rsidRDefault="0070346C" w:rsidP="00561F7C">
      <w:pPr>
        <w:pStyle w:val="FootnoteText"/>
        <w:tabs>
          <w:tab w:val="clear" w:pos="600"/>
          <w:tab w:val="left" w:pos="605"/>
        </w:tabs>
        <w:spacing w:line="480" w:lineRule="auto"/>
        <w:rPr>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B3695E">
        <w:rPr>
          <w:i/>
          <w:iCs/>
          <w:color w:val="000000"/>
          <w:szCs w:val="22"/>
        </w:rPr>
        <w:t xml:space="preserve">See </w:t>
      </w:r>
      <w:r>
        <w:rPr>
          <w:i/>
          <w:color w:val="000000"/>
          <w:szCs w:val="22"/>
        </w:rPr>
        <w:t>id.</w:t>
      </w:r>
      <w:r>
        <w:rPr>
          <w:iCs/>
          <w:color w:val="000000"/>
          <w:szCs w:val="22"/>
        </w:rPr>
        <w:t xml:space="preserve"> § 5:122-27.</w:t>
      </w:r>
    </w:p>
  </w:footnote>
  <w:footnote w:id="41">
    <w:p w14:paraId="1AC265BC" w14:textId="6B9C92D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 xml:space="preserve">See </w:t>
      </w:r>
      <w:r>
        <w:rPr>
          <w:i/>
          <w:iCs/>
          <w:color w:val="000000"/>
          <w:szCs w:val="22"/>
        </w:rPr>
        <w:t xml:space="preserve">id. </w:t>
      </w:r>
    </w:p>
  </w:footnote>
  <w:footnote w:id="42">
    <w:p w14:paraId="2EC58C34" w14:textId="728E2F25"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 xml:space="preserve">See </w:t>
      </w:r>
      <w:r>
        <w:rPr>
          <w:i/>
          <w:iCs/>
          <w:color w:val="000000"/>
          <w:szCs w:val="22"/>
        </w:rPr>
        <w:t xml:space="preserve">id. </w:t>
      </w:r>
    </w:p>
  </w:footnote>
  <w:footnote w:id="43">
    <w:p w14:paraId="6BA0757D" w14:textId="7F869273" w:rsidR="0070346C" w:rsidRPr="007A7FF1"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w:t>
      </w:r>
      <w:r>
        <w:rPr>
          <w:color w:val="000000"/>
          <w:szCs w:val="22"/>
        </w:rPr>
        <w:t xml:space="preserve"> Kevin J. Parker, </w:t>
      </w:r>
      <w:r>
        <w:rPr>
          <w:i/>
          <w:iCs/>
          <w:color w:val="000000"/>
          <w:szCs w:val="22"/>
        </w:rPr>
        <w:t>Trustee Defenses Statute of Limitations, Laches, Self-Executing Accounting Release Provisions, and Exculpatory Clauses,</w:t>
      </w:r>
      <w:r>
        <w:rPr>
          <w:color w:val="000000"/>
          <w:szCs w:val="22"/>
        </w:rPr>
        <w:t xml:space="preserve"> (2009) </w:t>
      </w:r>
      <w:r w:rsidRPr="0014127B">
        <w:rPr>
          <w:color w:val="000000"/>
        </w:rPr>
        <w:t>https://www.flprobatelitigation.com/wp-content/uploads/sites/206/2009/12/ABA-article-trustee-defenses.pdf</w:t>
      </w:r>
      <w:r>
        <w:rPr>
          <w:color w:val="000000"/>
          <w:szCs w:val="22"/>
        </w:rPr>
        <w:t xml:space="preserve"> [perma.cc/FC5P-BAEU].</w:t>
      </w:r>
    </w:p>
  </w:footnote>
  <w:footnote w:id="44">
    <w:p w14:paraId="7CDC2D90" w14:textId="7777777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 xml:space="preserve">See </w:t>
      </w:r>
      <w:r w:rsidRPr="00E26603">
        <w:rPr>
          <w:color w:val="000000"/>
          <w:szCs w:val="22"/>
        </w:rPr>
        <w:t xml:space="preserve">Guidelines for Individual Executors &amp; Trustees, </w:t>
      </w:r>
      <w:r w:rsidRPr="00691C04">
        <w:rPr>
          <w:color w:val="000000"/>
          <w:szCs w:val="22"/>
        </w:rPr>
        <w:t>https://www.americanbar.org/groups/real_property_trust_estate/resources/estate_planning/guidelines_for_individual_executors_trustees/</w:t>
      </w:r>
      <w:r w:rsidRPr="00691C04" w:rsidDel="00691C04">
        <w:rPr>
          <w:color w:val="000000"/>
          <w:szCs w:val="22"/>
        </w:rPr>
        <w:t xml:space="preserve"> </w:t>
      </w:r>
      <w:r>
        <w:rPr>
          <w:color w:val="000000"/>
          <w:szCs w:val="22"/>
        </w:rPr>
        <w:t xml:space="preserve">[perma.cc/K2VA-XVKS] </w:t>
      </w:r>
      <w:r w:rsidRPr="00E26603">
        <w:rPr>
          <w:color w:val="000000"/>
          <w:szCs w:val="22"/>
        </w:rPr>
        <w:t xml:space="preserve">(last </w:t>
      </w:r>
      <w:r>
        <w:rPr>
          <w:color w:val="000000"/>
          <w:szCs w:val="22"/>
        </w:rPr>
        <w:t>visit</w:t>
      </w:r>
      <w:r w:rsidRPr="00E26603">
        <w:rPr>
          <w:color w:val="000000"/>
          <w:szCs w:val="22"/>
        </w:rPr>
        <w:t>ed Jan. 20, 2020).</w:t>
      </w:r>
      <w:r>
        <w:rPr>
          <w:color w:val="000000"/>
          <w:szCs w:val="22"/>
        </w:rPr>
        <w:t xml:space="preserve"> </w:t>
      </w:r>
    </w:p>
    <w:p w14:paraId="05C82B02" w14:textId="4C7BE34B" w:rsidR="0070346C" w:rsidRPr="00E26603" w:rsidRDefault="0070346C" w:rsidP="00561F7C">
      <w:pPr>
        <w:pStyle w:val="FootnoteText"/>
        <w:tabs>
          <w:tab w:val="clear" w:pos="600"/>
          <w:tab w:val="left" w:pos="605"/>
        </w:tabs>
        <w:spacing w:line="480" w:lineRule="auto"/>
        <w:rPr>
          <w:color w:val="000000"/>
          <w:szCs w:val="22"/>
        </w:rPr>
      </w:pPr>
    </w:p>
  </w:footnote>
  <w:footnote w:id="45">
    <w:p w14:paraId="444BD8D6" w14:textId="666B4428"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Pr>
          <w:iCs/>
          <w:smallCaps/>
          <w:color w:val="000000"/>
          <w:szCs w:val="22"/>
        </w:rPr>
        <w:t xml:space="preserve">Cresswell et al., </w:t>
      </w:r>
      <w:r>
        <w:rPr>
          <w:i/>
          <w:color w:val="000000"/>
          <w:szCs w:val="22"/>
        </w:rPr>
        <w:t>supra</w:t>
      </w:r>
      <w:r>
        <w:rPr>
          <w:iCs/>
          <w:color w:val="000000"/>
          <w:szCs w:val="22"/>
        </w:rPr>
        <w:t xml:space="preserve"> note </w:t>
      </w:r>
      <w:r>
        <w:rPr>
          <w:iCs/>
          <w:color w:val="000000"/>
          <w:szCs w:val="22"/>
        </w:rPr>
        <w:fldChar w:fldCharType="begin"/>
      </w:r>
      <w:r>
        <w:rPr>
          <w:iCs/>
          <w:color w:val="000000"/>
          <w:szCs w:val="22"/>
        </w:rPr>
        <w:instrText xml:space="preserve"> NOTEREF _Ref33802168 \h  \* MERGEFORMAT </w:instrText>
      </w:r>
      <w:r>
        <w:rPr>
          <w:iCs/>
          <w:color w:val="000000"/>
          <w:szCs w:val="22"/>
        </w:rPr>
      </w:r>
      <w:r>
        <w:rPr>
          <w:iCs/>
          <w:color w:val="000000"/>
          <w:szCs w:val="22"/>
        </w:rPr>
        <w:fldChar w:fldCharType="separate"/>
      </w:r>
      <w:r>
        <w:rPr>
          <w:iCs/>
          <w:color w:val="000000"/>
          <w:szCs w:val="22"/>
        </w:rPr>
        <w:t>9</w:t>
      </w:r>
      <w:r>
        <w:rPr>
          <w:iCs/>
          <w:color w:val="000000"/>
          <w:szCs w:val="22"/>
        </w:rPr>
        <w:fldChar w:fldCharType="end"/>
      </w:r>
      <w:r>
        <w:rPr>
          <w:iCs/>
          <w:color w:val="000000"/>
          <w:szCs w:val="22"/>
        </w:rPr>
        <w:t xml:space="preserve">, </w:t>
      </w:r>
      <w:r w:rsidRPr="00E26603">
        <w:rPr>
          <w:color w:val="000000"/>
          <w:szCs w:val="22"/>
        </w:rPr>
        <w:t xml:space="preserve">§ </w:t>
      </w:r>
      <w:r>
        <w:rPr>
          <w:color w:val="000000"/>
          <w:szCs w:val="22"/>
        </w:rPr>
        <w:t xml:space="preserve">5:369; </w:t>
      </w:r>
      <w:r w:rsidRPr="00E26603">
        <w:rPr>
          <w:iCs/>
          <w:color w:val="000000"/>
          <w:szCs w:val="22"/>
        </w:rPr>
        <w:t>Huie v. DeShazo</w:t>
      </w:r>
      <w:r w:rsidRPr="00E26603">
        <w:rPr>
          <w:color w:val="000000"/>
          <w:szCs w:val="22"/>
        </w:rPr>
        <w:t xml:space="preserve">, 922 S.W.2d 920, 923 (Tex. 1996); </w:t>
      </w:r>
      <w:r w:rsidRPr="00E26603">
        <w:rPr>
          <w:iCs/>
          <w:color w:val="000000"/>
          <w:szCs w:val="22"/>
        </w:rPr>
        <w:t>Montgomery v. Kennedy</w:t>
      </w:r>
      <w:r w:rsidRPr="00E26603">
        <w:rPr>
          <w:color w:val="000000"/>
          <w:szCs w:val="22"/>
        </w:rPr>
        <w:t>, 669 S.W.2d 309, 313 (Tex. 1984).</w:t>
      </w:r>
    </w:p>
  </w:footnote>
  <w:footnote w:id="46">
    <w:p w14:paraId="2CCA732B" w14:textId="3C22961D"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Pr>
          <w:iCs/>
          <w:smallCaps/>
          <w:color w:val="000000"/>
          <w:szCs w:val="22"/>
        </w:rPr>
        <w:t xml:space="preserve">Cresswell et al., </w:t>
      </w:r>
      <w:r>
        <w:rPr>
          <w:i/>
          <w:color w:val="000000"/>
          <w:szCs w:val="22"/>
        </w:rPr>
        <w:t>supra</w:t>
      </w:r>
      <w:r>
        <w:rPr>
          <w:iCs/>
          <w:color w:val="000000"/>
          <w:szCs w:val="22"/>
        </w:rPr>
        <w:t xml:space="preserve"> note </w:t>
      </w:r>
      <w:r>
        <w:rPr>
          <w:iCs/>
          <w:color w:val="000000"/>
          <w:szCs w:val="22"/>
        </w:rPr>
        <w:fldChar w:fldCharType="begin"/>
      </w:r>
      <w:r>
        <w:rPr>
          <w:iCs/>
          <w:color w:val="000000"/>
          <w:szCs w:val="22"/>
        </w:rPr>
        <w:instrText xml:space="preserve"> NOTEREF _Ref33802168 \h  \* MERGEFORMAT </w:instrText>
      </w:r>
      <w:r>
        <w:rPr>
          <w:iCs/>
          <w:color w:val="000000"/>
          <w:szCs w:val="22"/>
        </w:rPr>
      </w:r>
      <w:r>
        <w:rPr>
          <w:iCs/>
          <w:color w:val="000000"/>
          <w:szCs w:val="22"/>
        </w:rPr>
        <w:fldChar w:fldCharType="separate"/>
      </w:r>
      <w:r>
        <w:rPr>
          <w:iCs/>
          <w:color w:val="000000"/>
          <w:szCs w:val="22"/>
        </w:rPr>
        <w:t>9</w:t>
      </w:r>
      <w:r>
        <w:rPr>
          <w:iCs/>
          <w:color w:val="000000"/>
          <w:szCs w:val="22"/>
        </w:rPr>
        <w:fldChar w:fldCharType="end"/>
      </w:r>
      <w:r>
        <w:rPr>
          <w:iCs/>
          <w:color w:val="000000"/>
          <w:szCs w:val="22"/>
        </w:rPr>
        <w:t xml:space="preserve">, </w:t>
      </w:r>
      <w:r w:rsidRPr="00E26603">
        <w:rPr>
          <w:color w:val="000000"/>
          <w:szCs w:val="22"/>
        </w:rPr>
        <w:t xml:space="preserve">§ </w:t>
      </w:r>
      <w:r>
        <w:rPr>
          <w:color w:val="000000"/>
          <w:szCs w:val="22"/>
        </w:rPr>
        <w:t xml:space="preserve">5:370; </w:t>
      </w:r>
      <w:r w:rsidRPr="00E26603">
        <w:rPr>
          <w:iCs/>
          <w:color w:val="000000"/>
          <w:szCs w:val="22"/>
        </w:rPr>
        <w:t>Avary v. Bank of Am</w:t>
      </w:r>
      <w:r w:rsidRPr="00B3695E">
        <w:rPr>
          <w:color w:val="000000"/>
          <w:szCs w:val="22"/>
        </w:rPr>
        <w:t>., N.A.</w:t>
      </w:r>
      <w:r w:rsidRPr="00E26603">
        <w:rPr>
          <w:color w:val="000000"/>
          <w:szCs w:val="22"/>
        </w:rPr>
        <w:t>, 72 S.W.3d 779, 797 (Tex. App.—Dallas 2002, pet. denied).</w:t>
      </w:r>
    </w:p>
  </w:footnote>
  <w:footnote w:id="47">
    <w:p w14:paraId="6DB101E6" w14:textId="19AEC07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Pr>
          <w:iCs/>
          <w:smallCaps/>
          <w:color w:val="000000"/>
          <w:szCs w:val="22"/>
        </w:rPr>
        <w:t xml:space="preserve">Cresswell et al., </w:t>
      </w:r>
      <w:r>
        <w:rPr>
          <w:i/>
          <w:color w:val="000000"/>
          <w:szCs w:val="22"/>
        </w:rPr>
        <w:t>supra</w:t>
      </w:r>
      <w:r>
        <w:rPr>
          <w:iCs/>
          <w:color w:val="000000"/>
          <w:szCs w:val="22"/>
        </w:rPr>
        <w:t xml:space="preserve"> note </w:t>
      </w:r>
      <w:r>
        <w:rPr>
          <w:iCs/>
          <w:color w:val="000000"/>
          <w:szCs w:val="22"/>
        </w:rPr>
        <w:fldChar w:fldCharType="begin"/>
      </w:r>
      <w:r>
        <w:rPr>
          <w:iCs/>
          <w:color w:val="000000"/>
          <w:szCs w:val="22"/>
        </w:rPr>
        <w:instrText xml:space="preserve"> NOTEREF _Ref33802168 \h  \* MERGEFORMAT </w:instrText>
      </w:r>
      <w:r>
        <w:rPr>
          <w:iCs/>
          <w:color w:val="000000"/>
          <w:szCs w:val="22"/>
        </w:rPr>
      </w:r>
      <w:r>
        <w:rPr>
          <w:iCs/>
          <w:color w:val="000000"/>
          <w:szCs w:val="22"/>
        </w:rPr>
        <w:fldChar w:fldCharType="separate"/>
      </w:r>
      <w:r>
        <w:rPr>
          <w:iCs/>
          <w:color w:val="000000"/>
          <w:szCs w:val="22"/>
        </w:rPr>
        <w:t>9</w:t>
      </w:r>
      <w:r>
        <w:rPr>
          <w:iCs/>
          <w:color w:val="000000"/>
          <w:szCs w:val="22"/>
        </w:rPr>
        <w:fldChar w:fldCharType="end"/>
      </w:r>
      <w:r>
        <w:rPr>
          <w:iCs/>
          <w:color w:val="000000"/>
          <w:szCs w:val="22"/>
        </w:rPr>
        <w:t xml:space="preserve">, </w:t>
      </w:r>
      <w:r w:rsidRPr="00E26603">
        <w:rPr>
          <w:color w:val="000000"/>
          <w:szCs w:val="22"/>
        </w:rPr>
        <w:t xml:space="preserve">§ </w:t>
      </w:r>
      <w:r>
        <w:rPr>
          <w:color w:val="000000"/>
          <w:szCs w:val="22"/>
        </w:rPr>
        <w:t>5:370.</w:t>
      </w:r>
    </w:p>
  </w:footnote>
  <w:footnote w:id="48">
    <w:p w14:paraId="3AA2C71F" w14:textId="601AB07B" w:rsidR="0070346C" w:rsidRPr="0014127B" w:rsidRDefault="0070346C" w:rsidP="00561F7C">
      <w:pPr>
        <w:pStyle w:val="FootnoteText"/>
        <w:tabs>
          <w:tab w:val="clear" w:pos="600"/>
          <w:tab w:val="left" w:pos="605"/>
        </w:tabs>
        <w:spacing w:line="480" w:lineRule="auto"/>
        <w:rPr>
          <w:color w:val="000000"/>
          <w:szCs w:val="22"/>
          <w:lang w:val="fr-FR"/>
        </w:rPr>
      </w:pPr>
      <w:r>
        <w:rPr>
          <w:color w:val="000000"/>
          <w:szCs w:val="22"/>
        </w:rPr>
        <w:tab/>
      </w:r>
      <w:r w:rsidRPr="00E26603">
        <w:rPr>
          <w:rStyle w:val="FootnoteReference"/>
          <w:color w:val="000000"/>
          <w:sz w:val="16"/>
          <w:szCs w:val="22"/>
          <w:vertAlign w:val="baseline"/>
        </w:rPr>
        <w:footnoteRef/>
      </w:r>
      <w:r w:rsidRPr="0014127B">
        <w:rPr>
          <w:color w:val="000000"/>
          <w:szCs w:val="22"/>
          <w:lang w:val="fr-FR"/>
        </w:rPr>
        <w:t>.</w:t>
      </w:r>
      <w:r w:rsidRPr="0014127B">
        <w:rPr>
          <w:color w:val="000000"/>
          <w:szCs w:val="22"/>
          <w:lang w:val="fr-FR"/>
        </w:rPr>
        <w:tab/>
      </w:r>
      <w:r w:rsidRPr="0014127B">
        <w:rPr>
          <w:smallCaps/>
          <w:color w:val="000000"/>
          <w:szCs w:val="22"/>
          <w:lang w:val="fr-FR"/>
        </w:rPr>
        <w:t>Tex. Prop. Code Ann.</w:t>
      </w:r>
      <w:r w:rsidRPr="0014127B">
        <w:rPr>
          <w:color w:val="000000"/>
          <w:szCs w:val="22"/>
          <w:lang w:val="fr-FR"/>
        </w:rPr>
        <w:t xml:space="preserve"> § 113.151(a).</w:t>
      </w:r>
    </w:p>
  </w:footnote>
  <w:footnote w:id="49">
    <w:p w14:paraId="11BDBFC4" w14:textId="273FC034" w:rsidR="0070346C" w:rsidRPr="0014127B" w:rsidRDefault="0070346C" w:rsidP="00561F7C">
      <w:pPr>
        <w:pStyle w:val="FootnoteText"/>
        <w:tabs>
          <w:tab w:val="clear" w:pos="600"/>
          <w:tab w:val="left" w:pos="605"/>
        </w:tabs>
        <w:spacing w:line="480" w:lineRule="auto"/>
        <w:rPr>
          <w:color w:val="000000"/>
          <w:szCs w:val="22"/>
          <w:lang w:val="fr-FR"/>
        </w:rPr>
      </w:pPr>
      <w:r w:rsidRPr="0014127B">
        <w:rPr>
          <w:color w:val="000000"/>
          <w:szCs w:val="22"/>
          <w:lang w:val="fr-FR"/>
        </w:rPr>
        <w:tab/>
      </w:r>
      <w:r w:rsidRPr="00E26603">
        <w:rPr>
          <w:rStyle w:val="FootnoteReference"/>
          <w:color w:val="000000"/>
          <w:sz w:val="16"/>
          <w:szCs w:val="22"/>
          <w:vertAlign w:val="baseline"/>
        </w:rPr>
        <w:footnoteRef/>
      </w:r>
      <w:r w:rsidRPr="0014127B">
        <w:rPr>
          <w:color w:val="000000"/>
          <w:szCs w:val="22"/>
          <w:lang w:val="fr-FR"/>
        </w:rPr>
        <w:t>.</w:t>
      </w:r>
      <w:r w:rsidRPr="0014127B">
        <w:rPr>
          <w:color w:val="000000"/>
          <w:szCs w:val="22"/>
          <w:lang w:val="fr-FR"/>
        </w:rPr>
        <w:tab/>
      </w:r>
      <w:r w:rsidRPr="0014127B">
        <w:rPr>
          <w:i/>
          <w:iCs/>
          <w:color w:val="000000"/>
          <w:szCs w:val="22"/>
          <w:lang w:val="fr-FR"/>
        </w:rPr>
        <w:t>Infra</w:t>
      </w:r>
      <w:r w:rsidRPr="0014127B">
        <w:rPr>
          <w:iCs/>
          <w:color w:val="000000"/>
          <w:szCs w:val="22"/>
          <w:lang w:val="fr-FR"/>
        </w:rPr>
        <w:t xml:space="preserve"> </w:t>
      </w:r>
      <w:r w:rsidRPr="0014127B">
        <w:rPr>
          <w:color w:val="000000"/>
          <w:szCs w:val="22"/>
          <w:lang w:val="fr-FR"/>
        </w:rPr>
        <w:t>Section II.C</w:t>
      </w:r>
      <w:r w:rsidRPr="0014127B">
        <w:rPr>
          <w:color w:val="000000"/>
          <w:szCs w:val="22"/>
          <w:lang w:val="fr-FR"/>
        </w:rPr>
        <w:t>,  III.A.1.</w:t>
      </w:r>
    </w:p>
  </w:footnote>
  <w:footnote w:id="50">
    <w:p w14:paraId="37726AF7" w14:textId="555C73DD" w:rsidR="0070346C" w:rsidRPr="00E26603" w:rsidRDefault="0070346C" w:rsidP="00561F7C">
      <w:pPr>
        <w:pStyle w:val="FootnoteText"/>
        <w:tabs>
          <w:tab w:val="clear" w:pos="600"/>
          <w:tab w:val="left" w:pos="605"/>
        </w:tabs>
        <w:spacing w:line="480" w:lineRule="auto"/>
        <w:rPr>
          <w:color w:val="000000"/>
          <w:szCs w:val="22"/>
        </w:rPr>
      </w:pPr>
      <w:r w:rsidRPr="0014127B">
        <w:rPr>
          <w:color w:val="000000"/>
          <w:szCs w:val="22"/>
          <w:lang w:val="fr-FR"/>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Pr>
          <w:iCs/>
          <w:smallCaps/>
          <w:color w:val="000000"/>
          <w:szCs w:val="22"/>
        </w:rPr>
        <w:t xml:space="preserve">Cresswell et al., </w:t>
      </w:r>
      <w:r>
        <w:rPr>
          <w:i/>
          <w:color w:val="000000"/>
          <w:szCs w:val="22"/>
        </w:rPr>
        <w:t>supra</w:t>
      </w:r>
      <w:r>
        <w:rPr>
          <w:iCs/>
          <w:color w:val="000000"/>
          <w:szCs w:val="22"/>
        </w:rPr>
        <w:t xml:space="preserve"> note </w:t>
      </w:r>
      <w:r>
        <w:rPr>
          <w:iCs/>
          <w:color w:val="000000"/>
          <w:szCs w:val="22"/>
        </w:rPr>
        <w:fldChar w:fldCharType="begin"/>
      </w:r>
      <w:r>
        <w:rPr>
          <w:iCs/>
          <w:color w:val="000000"/>
          <w:szCs w:val="22"/>
        </w:rPr>
        <w:instrText xml:space="preserve"> NOTEREF _Ref33802168 \h  \* MERGEFORMAT </w:instrText>
      </w:r>
      <w:r>
        <w:rPr>
          <w:iCs/>
          <w:color w:val="000000"/>
          <w:szCs w:val="22"/>
        </w:rPr>
      </w:r>
      <w:r>
        <w:rPr>
          <w:iCs/>
          <w:color w:val="000000"/>
          <w:szCs w:val="22"/>
        </w:rPr>
        <w:fldChar w:fldCharType="separate"/>
      </w:r>
      <w:r>
        <w:rPr>
          <w:iCs/>
          <w:color w:val="000000"/>
          <w:szCs w:val="22"/>
        </w:rPr>
        <w:t>9</w:t>
      </w:r>
      <w:r>
        <w:rPr>
          <w:iCs/>
          <w:color w:val="000000"/>
          <w:szCs w:val="22"/>
        </w:rPr>
        <w:fldChar w:fldCharType="end"/>
      </w:r>
      <w:r>
        <w:rPr>
          <w:iCs/>
          <w:color w:val="000000"/>
          <w:szCs w:val="22"/>
        </w:rPr>
        <w:t xml:space="preserve">, </w:t>
      </w:r>
      <w:r w:rsidRPr="00E26603">
        <w:rPr>
          <w:color w:val="000000"/>
          <w:szCs w:val="22"/>
        </w:rPr>
        <w:t>§</w:t>
      </w:r>
      <w:r>
        <w:rPr>
          <w:color w:val="000000"/>
          <w:szCs w:val="22"/>
        </w:rPr>
        <w:t>§ 5:339, 5:360.</w:t>
      </w:r>
    </w:p>
  </w:footnote>
  <w:footnote w:id="51">
    <w:p w14:paraId="3B7E5861" w14:textId="2C26505E" w:rsidR="0070346C" w:rsidRPr="0014127B" w:rsidRDefault="0070346C" w:rsidP="00561F7C">
      <w:pPr>
        <w:pStyle w:val="FootnoteText"/>
        <w:tabs>
          <w:tab w:val="clear" w:pos="600"/>
          <w:tab w:val="left" w:pos="605"/>
        </w:tabs>
        <w:spacing w:line="480" w:lineRule="auto"/>
        <w:rPr>
          <w:iCs/>
          <w:color w:val="000000"/>
          <w:szCs w:val="22"/>
          <w:lang w:val="fr-FR"/>
        </w:rPr>
      </w:pPr>
      <w:r>
        <w:rPr>
          <w:color w:val="000000"/>
          <w:szCs w:val="22"/>
        </w:rPr>
        <w:tab/>
      </w:r>
      <w:r w:rsidRPr="00E26603">
        <w:rPr>
          <w:rStyle w:val="FootnoteReference"/>
          <w:color w:val="000000"/>
          <w:sz w:val="16"/>
          <w:szCs w:val="22"/>
          <w:vertAlign w:val="baseline"/>
        </w:rPr>
        <w:footnoteRef/>
      </w:r>
      <w:r w:rsidRPr="0014127B">
        <w:rPr>
          <w:color w:val="000000"/>
          <w:szCs w:val="22"/>
          <w:lang w:val="fr-FR"/>
        </w:rPr>
        <w:t>.</w:t>
      </w:r>
      <w:r w:rsidRPr="0014127B">
        <w:rPr>
          <w:color w:val="000000"/>
          <w:szCs w:val="22"/>
          <w:lang w:val="fr-FR"/>
        </w:rPr>
        <w:tab/>
      </w:r>
      <w:r w:rsidRPr="0014127B">
        <w:rPr>
          <w:i/>
          <w:iCs/>
          <w:color w:val="000000"/>
          <w:szCs w:val="22"/>
          <w:lang w:val="fr-FR"/>
        </w:rPr>
        <w:t>Id</w:t>
      </w:r>
      <w:r w:rsidRPr="0014127B">
        <w:rPr>
          <w:i/>
          <w:color w:val="000000"/>
          <w:szCs w:val="22"/>
          <w:lang w:val="fr-FR"/>
        </w:rPr>
        <w:t>.</w:t>
      </w:r>
      <w:r w:rsidRPr="0014127B">
        <w:rPr>
          <w:iCs/>
          <w:color w:val="000000"/>
          <w:szCs w:val="22"/>
          <w:lang w:val="fr-FR"/>
        </w:rPr>
        <w:t xml:space="preserve"> § </w:t>
      </w:r>
      <w:r w:rsidRPr="0014127B">
        <w:rPr>
          <w:iCs/>
          <w:color w:val="000000"/>
          <w:szCs w:val="22"/>
          <w:lang w:val="fr-FR"/>
        </w:rPr>
        <w:t>5:360.</w:t>
      </w:r>
    </w:p>
  </w:footnote>
  <w:footnote w:id="52">
    <w:p w14:paraId="7911421F" w14:textId="61DE171D" w:rsidR="0070346C" w:rsidRPr="00E26603" w:rsidRDefault="0070346C" w:rsidP="00561F7C">
      <w:pPr>
        <w:pStyle w:val="FootnoteText"/>
        <w:tabs>
          <w:tab w:val="clear" w:pos="600"/>
          <w:tab w:val="left" w:pos="605"/>
        </w:tabs>
        <w:spacing w:line="480" w:lineRule="auto"/>
        <w:rPr>
          <w:color w:val="000000"/>
          <w:szCs w:val="22"/>
        </w:rPr>
      </w:pPr>
      <w:r w:rsidRPr="0014127B">
        <w:rPr>
          <w:color w:val="000000"/>
          <w:szCs w:val="22"/>
          <w:lang w:val="fr-FR"/>
        </w:rPr>
        <w:tab/>
      </w:r>
      <w:r w:rsidRPr="00E26603">
        <w:rPr>
          <w:rStyle w:val="FootnoteReference"/>
          <w:color w:val="000000"/>
          <w:sz w:val="16"/>
          <w:szCs w:val="22"/>
          <w:vertAlign w:val="baseline"/>
        </w:rPr>
        <w:footnoteRef/>
      </w:r>
      <w:r w:rsidRPr="0014127B">
        <w:rPr>
          <w:color w:val="000000"/>
          <w:szCs w:val="22"/>
          <w:lang w:val="fr-FR"/>
        </w:rPr>
        <w:t>.</w:t>
      </w:r>
      <w:r w:rsidRPr="0014127B">
        <w:rPr>
          <w:color w:val="000000"/>
          <w:szCs w:val="22"/>
          <w:lang w:val="fr-FR"/>
        </w:rPr>
        <w:tab/>
      </w:r>
      <w:r w:rsidRPr="0014127B">
        <w:rPr>
          <w:smallCaps/>
          <w:color w:val="000000"/>
          <w:szCs w:val="22"/>
          <w:lang w:val="fr-FR"/>
        </w:rPr>
        <w:t>Tex. Prop. Code Ann.</w:t>
      </w:r>
      <w:r w:rsidRPr="0014127B">
        <w:rPr>
          <w:color w:val="000000"/>
          <w:szCs w:val="22"/>
          <w:lang w:val="fr-FR"/>
        </w:rPr>
        <w:t xml:space="preserve"> </w:t>
      </w:r>
      <w:r w:rsidRPr="00E26603">
        <w:rPr>
          <w:color w:val="000000"/>
          <w:szCs w:val="22"/>
        </w:rPr>
        <w:t>§ 117.004(a</w:t>
      </w:r>
      <w:r>
        <w:rPr>
          <w:color w:val="000000"/>
          <w:szCs w:val="22"/>
        </w:rPr>
        <w:t>).</w:t>
      </w:r>
    </w:p>
  </w:footnote>
  <w:footnote w:id="53">
    <w:p w14:paraId="2622AB01" w14:textId="01F40310" w:rsidR="0070346C" w:rsidRPr="002A3016" w:rsidRDefault="0070346C" w:rsidP="00561F7C">
      <w:pPr>
        <w:pStyle w:val="FootnoteText"/>
        <w:tabs>
          <w:tab w:val="clear" w:pos="600"/>
          <w:tab w:val="left" w:pos="605"/>
        </w:tabs>
        <w:spacing w:line="480" w:lineRule="auto"/>
        <w:rPr>
          <w:i/>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id.</w:t>
      </w:r>
    </w:p>
  </w:footnote>
  <w:footnote w:id="54">
    <w:p w14:paraId="1B071610" w14:textId="20299B3D"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Pr>
          <w:iCs/>
          <w:smallCaps/>
          <w:color w:val="000000"/>
          <w:szCs w:val="22"/>
        </w:rPr>
        <w:t xml:space="preserve">Cresswell et al., </w:t>
      </w:r>
      <w:r>
        <w:rPr>
          <w:i/>
          <w:color w:val="000000"/>
          <w:szCs w:val="22"/>
        </w:rPr>
        <w:t>supra</w:t>
      </w:r>
      <w:r>
        <w:rPr>
          <w:iCs/>
          <w:color w:val="000000"/>
          <w:szCs w:val="22"/>
        </w:rPr>
        <w:t xml:space="preserve"> note </w:t>
      </w:r>
      <w:r>
        <w:rPr>
          <w:iCs/>
          <w:color w:val="000000"/>
          <w:szCs w:val="22"/>
        </w:rPr>
        <w:fldChar w:fldCharType="begin"/>
      </w:r>
      <w:r>
        <w:rPr>
          <w:iCs/>
          <w:color w:val="000000"/>
          <w:szCs w:val="22"/>
        </w:rPr>
        <w:instrText xml:space="preserve"> NOTEREF _Ref33802168 \h  \* MERGEFORMAT </w:instrText>
      </w:r>
      <w:r>
        <w:rPr>
          <w:iCs/>
          <w:color w:val="000000"/>
          <w:szCs w:val="22"/>
        </w:rPr>
      </w:r>
      <w:r>
        <w:rPr>
          <w:iCs/>
          <w:color w:val="000000"/>
          <w:szCs w:val="22"/>
        </w:rPr>
        <w:fldChar w:fldCharType="separate"/>
      </w:r>
      <w:r>
        <w:rPr>
          <w:iCs/>
          <w:color w:val="000000"/>
          <w:szCs w:val="22"/>
        </w:rPr>
        <w:t>9</w:t>
      </w:r>
      <w:r>
        <w:rPr>
          <w:iCs/>
          <w:color w:val="000000"/>
          <w:szCs w:val="22"/>
        </w:rPr>
        <w:fldChar w:fldCharType="end"/>
      </w:r>
      <w:r>
        <w:rPr>
          <w:iCs/>
          <w:color w:val="000000"/>
          <w:szCs w:val="22"/>
        </w:rPr>
        <w:t xml:space="preserve">, </w:t>
      </w:r>
      <w:r w:rsidRPr="00E26603">
        <w:rPr>
          <w:color w:val="000000"/>
          <w:szCs w:val="22"/>
        </w:rPr>
        <w:t xml:space="preserve">§ </w:t>
      </w:r>
      <w:r>
        <w:rPr>
          <w:color w:val="000000"/>
          <w:szCs w:val="22"/>
        </w:rPr>
        <w:t xml:space="preserve">5:362. </w:t>
      </w:r>
    </w:p>
  </w:footnote>
  <w:footnote w:id="55">
    <w:p w14:paraId="79E62F56" w14:textId="29C4444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smallCaps/>
          <w:color w:val="000000"/>
          <w:szCs w:val="22"/>
        </w:rPr>
        <w:t xml:space="preserve">Tex. </w:t>
      </w:r>
      <w:r>
        <w:rPr>
          <w:smallCaps/>
          <w:color w:val="000000"/>
          <w:szCs w:val="22"/>
        </w:rPr>
        <w:t>Prop.</w:t>
      </w:r>
      <w:r w:rsidRPr="00E26603">
        <w:rPr>
          <w:smallCaps/>
          <w:color w:val="000000"/>
          <w:szCs w:val="22"/>
        </w:rPr>
        <w:t xml:space="preserve"> Code Ann.</w:t>
      </w:r>
      <w:r w:rsidRPr="00E26603">
        <w:rPr>
          <w:color w:val="000000"/>
          <w:szCs w:val="22"/>
        </w:rPr>
        <w:t xml:space="preserve"> §</w:t>
      </w:r>
      <w:r>
        <w:rPr>
          <w:color w:val="000000"/>
          <w:szCs w:val="22"/>
        </w:rPr>
        <w:t xml:space="preserve"> </w:t>
      </w:r>
      <w:r w:rsidRPr="00E26603">
        <w:rPr>
          <w:color w:val="000000"/>
          <w:szCs w:val="22"/>
        </w:rPr>
        <w:t>118.00</w:t>
      </w:r>
      <w:r>
        <w:rPr>
          <w:color w:val="000000"/>
          <w:szCs w:val="22"/>
        </w:rPr>
        <w:t>4.</w:t>
      </w:r>
    </w:p>
  </w:footnote>
  <w:footnote w:id="56">
    <w:p w14:paraId="19370C98" w14:textId="77777777" w:rsidR="00D46CAB" w:rsidRPr="00E26603" w:rsidRDefault="00D46CAB" w:rsidP="00D46CAB">
      <w:pPr>
        <w:pStyle w:val="FootnoteText"/>
        <w:tabs>
          <w:tab w:val="clear" w:pos="600"/>
          <w:tab w:val="left" w:pos="605"/>
        </w:tabs>
        <w:spacing w:line="480" w:lineRule="auto"/>
        <w:rPr>
          <w:color w:val="000000"/>
          <w:szCs w:val="22"/>
          <w:lang w:val="fr-FR"/>
        </w:rPr>
      </w:pPr>
      <w:r w:rsidRPr="007712A2">
        <w:rPr>
          <w:color w:val="000000"/>
          <w:szCs w:val="22"/>
        </w:rPr>
        <w:tab/>
      </w:r>
      <w:r w:rsidRPr="00E26603">
        <w:rPr>
          <w:rStyle w:val="FootnoteReference"/>
          <w:color w:val="000000"/>
          <w:sz w:val="16"/>
          <w:szCs w:val="22"/>
          <w:vertAlign w:val="baseline"/>
        </w:rPr>
        <w:footnoteRef/>
      </w:r>
      <w:r w:rsidRPr="007712A2">
        <w:rPr>
          <w:color w:val="000000"/>
          <w:szCs w:val="22"/>
        </w:rPr>
        <w:t>.</w:t>
      </w:r>
      <w:r w:rsidRPr="007712A2">
        <w:rPr>
          <w:color w:val="000000"/>
          <w:szCs w:val="22"/>
        </w:rPr>
        <w:tab/>
      </w:r>
      <w:r>
        <w:rPr>
          <w:i/>
          <w:iCs/>
          <w:color w:val="000000"/>
          <w:szCs w:val="22"/>
        </w:rPr>
        <w:t xml:space="preserve">See id. </w:t>
      </w:r>
      <w:r w:rsidRPr="00E26603">
        <w:rPr>
          <w:color w:val="000000"/>
          <w:szCs w:val="22"/>
          <w:lang w:val="fr-FR"/>
        </w:rPr>
        <w:t>§ 116.004(b).</w:t>
      </w:r>
    </w:p>
  </w:footnote>
  <w:footnote w:id="57">
    <w:p w14:paraId="0EB2FA0B" w14:textId="03F85337" w:rsidR="0070346C" w:rsidRPr="002A3016" w:rsidRDefault="0070346C" w:rsidP="00561F7C">
      <w:pPr>
        <w:pStyle w:val="FootnoteText"/>
        <w:tabs>
          <w:tab w:val="clear" w:pos="600"/>
          <w:tab w:val="left" w:pos="605"/>
        </w:tabs>
        <w:spacing w:line="480" w:lineRule="auto"/>
        <w:rPr>
          <w:i/>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id.</w:t>
      </w:r>
    </w:p>
  </w:footnote>
  <w:footnote w:id="58">
    <w:p w14:paraId="468EF101" w14:textId="2EE5B29C" w:rsidR="0070346C" w:rsidRPr="00E26603" w:rsidRDefault="0070346C" w:rsidP="00561F7C">
      <w:pPr>
        <w:pStyle w:val="FootnoteText"/>
        <w:tabs>
          <w:tab w:val="clear" w:pos="600"/>
          <w:tab w:val="left" w:pos="605"/>
        </w:tabs>
        <w:spacing w:line="480" w:lineRule="auto"/>
        <w:rPr>
          <w:i/>
          <w:color w:val="000000"/>
          <w:szCs w:val="22"/>
          <w:lang w:val="fr-FR"/>
        </w:rPr>
      </w:pPr>
      <w:r>
        <w:rPr>
          <w:color w:val="000000"/>
          <w:szCs w:val="22"/>
          <w:lang w:val="fr-FR"/>
        </w:rPr>
        <w:tab/>
      </w:r>
      <w:r w:rsidRPr="00E26603">
        <w:rPr>
          <w:rStyle w:val="FootnoteReference"/>
          <w:color w:val="000000"/>
          <w:sz w:val="16"/>
          <w:szCs w:val="22"/>
          <w:vertAlign w:val="baseline"/>
        </w:rPr>
        <w:footnoteRef/>
      </w:r>
      <w:r>
        <w:rPr>
          <w:color w:val="000000"/>
          <w:szCs w:val="22"/>
          <w:lang w:val="fr-FR"/>
        </w:rPr>
        <w:t>.</w:t>
      </w:r>
      <w:r>
        <w:rPr>
          <w:color w:val="000000"/>
          <w:szCs w:val="22"/>
          <w:lang w:val="fr-FR"/>
        </w:rPr>
        <w:tab/>
      </w:r>
      <w:r w:rsidRPr="00E26603">
        <w:rPr>
          <w:i/>
          <w:color w:val="000000"/>
          <w:szCs w:val="22"/>
          <w:lang w:val="fr-FR"/>
        </w:rPr>
        <w:t>Id.</w:t>
      </w:r>
    </w:p>
  </w:footnote>
  <w:footnote w:id="59">
    <w:p w14:paraId="74C08F73" w14:textId="68617D15" w:rsidR="0070346C" w:rsidRPr="00FC4159" w:rsidRDefault="0070346C" w:rsidP="00561F7C">
      <w:pPr>
        <w:pStyle w:val="FootnoteText"/>
        <w:tabs>
          <w:tab w:val="clear" w:pos="600"/>
          <w:tab w:val="left" w:pos="605"/>
        </w:tabs>
        <w:spacing w:line="480" w:lineRule="auto"/>
        <w:rPr>
          <w:i/>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i/>
          <w:iCs/>
          <w:color w:val="000000"/>
          <w:szCs w:val="22"/>
        </w:rPr>
        <w:tab/>
        <w:t xml:space="preserve">See, </w:t>
      </w:r>
      <w:r>
        <w:rPr>
          <w:iCs/>
          <w:smallCaps/>
          <w:color w:val="000000"/>
          <w:szCs w:val="22"/>
        </w:rPr>
        <w:t xml:space="preserve">Cresswell et al., </w:t>
      </w:r>
      <w:r>
        <w:rPr>
          <w:i/>
          <w:color w:val="000000"/>
          <w:szCs w:val="22"/>
        </w:rPr>
        <w:t>supra</w:t>
      </w:r>
      <w:r>
        <w:rPr>
          <w:iCs/>
          <w:color w:val="000000"/>
          <w:szCs w:val="22"/>
        </w:rPr>
        <w:t xml:space="preserve"> note </w:t>
      </w:r>
      <w:r>
        <w:rPr>
          <w:iCs/>
          <w:color w:val="000000"/>
          <w:szCs w:val="22"/>
        </w:rPr>
        <w:fldChar w:fldCharType="begin"/>
      </w:r>
      <w:r>
        <w:rPr>
          <w:iCs/>
          <w:color w:val="000000"/>
          <w:szCs w:val="22"/>
        </w:rPr>
        <w:instrText xml:space="preserve"> NOTEREF _Ref33802168 \h  \* MERGEFORMAT </w:instrText>
      </w:r>
      <w:r>
        <w:rPr>
          <w:iCs/>
          <w:color w:val="000000"/>
          <w:szCs w:val="22"/>
        </w:rPr>
      </w:r>
      <w:r>
        <w:rPr>
          <w:iCs/>
          <w:color w:val="000000"/>
          <w:szCs w:val="22"/>
        </w:rPr>
        <w:fldChar w:fldCharType="separate"/>
      </w:r>
      <w:r>
        <w:rPr>
          <w:iCs/>
          <w:color w:val="000000"/>
          <w:szCs w:val="22"/>
        </w:rPr>
        <w:t>9</w:t>
      </w:r>
      <w:r>
        <w:rPr>
          <w:iCs/>
          <w:color w:val="000000"/>
          <w:szCs w:val="22"/>
        </w:rPr>
        <w:fldChar w:fldCharType="end"/>
      </w:r>
      <w:r>
        <w:rPr>
          <w:iCs/>
          <w:color w:val="000000"/>
          <w:szCs w:val="22"/>
        </w:rPr>
        <w:t xml:space="preserve">, </w:t>
      </w:r>
      <w:r w:rsidRPr="00E26603">
        <w:rPr>
          <w:color w:val="000000"/>
          <w:szCs w:val="22"/>
        </w:rPr>
        <w:t>§</w:t>
      </w:r>
      <w:r>
        <w:rPr>
          <w:color w:val="000000"/>
          <w:szCs w:val="22"/>
        </w:rPr>
        <w:t>§</w:t>
      </w:r>
      <w:r w:rsidRPr="00E26603">
        <w:rPr>
          <w:color w:val="000000"/>
          <w:szCs w:val="22"/>
        </w:rPr>
        <w:t xml:space="preserve"> </w:t>
      </w:r>
      <w:r>
        <w:rPr>
          <w:color w:val="000000"/>
          <w:szCs w:val="22"/>
        </w:rPr>
        <w:t>5:32, 5:455.</w:t>
      </w:r>
    </w:p>
  </w:footnote>
  <w:footnote w:id="60">
    <w:p w14:paraId="1A4C28B0" w14:textId="7F0881B7" w:rsidR="0070346C" w:rsidRPr="0014127B" w:rsidRDefault="0070346C" w:rsidP="00561F7C">
      <w:pPr>
        <w:pStyle w:val="FootnoteText"/>
        <w:tabs>
          <w:tab w:val="clear" w:pos="600"/>
          <w:tab w:val="left" w:pos="605"/>
        </w:tabs>
        <w:spacing w:line="480" w:lineRule="auto"/>
        <w:rPr>
          <w:color w:val="000000"/>
          <w:szCs w:val="22"/>
          <w:lang w:val="fr-FR"/>
        </w:rPr>
      </w:pPr>
      <w:r>
        <w:rPr>
          <w:color w:val="000000"/>
          <w:szCs w:val="22"/>
        </w:rPr>
        <w:tab/>
      </w:r>
      <w:r w:rsidRPr="00E26603">
        <w:rPr>
          <w:rStyle w:val="FootnoteReference"/>
          <w:color w:val="000000"/>
          <w:sz w:val="16"/>
          <w:szCs w:val="22"/>
          <w:vertAlign w:val="baseline"/>
        </w:rPr>
        <w:footnoteRef/>
      </w:r>
      <w:r w:rsidRPr="0014127B">
        <w:rPr>
          <w:color w:val="000000"/>
          <w:szCs w:val="22"/>
          <w:lang w:val="fr-FR"/>
        </w:rPr>
        <w:t>.</w:t>
      </w:r>
      <w:r w:rsidRPr="0014127B">
        <w:rPr>
          <w:color w:val="000000"/>
          <w:szCs w:val="22"/>
          <w:lang w:val="fr-FR"/>
        </w:rPr>
        <w:tab/>
      </w:r>
      <w:r w:rsidRPr="00E26603">
        <w:rPr>
          <w:smallCaps/>
          <w:color w:val="000000"/>
          <w:szCs w:val="22"/>
          <w:lang w:val="fr-FR"/>
        </w:rPr>
        <w:t xml:space="preserve">Tex. </w:t>
      </w:r>
      <w:r>
        <w:rPr>
          <w:smallCaps/>
          <w:color w:val="000000"/>
          <w:szCs w:val="22"/>
          <w:lang w:val="fr-FR"/>
        </w:rPr>
        <w:t>Prop.</w:t>
      </w:r>
      <w:r w:rsidRPr="00E26603">
        <w:rPr>
          <w:smallCaps/>
          <w:color w:val="000000"/>
          <w:szCs w:val="22"/>
          <w:lang w:val="fr-FR"/>
        </w:rPr>
        <w:t xml:space="preserve"> Code</w:t>
      </w:r>
      <w:r>
        <w:rPr>
          <w:smallCaps/>
          <w:color w:val="000000"/>
          <w:szCs w:val="22"/>
          <w:lang w:val="fr-FR"/>
        </w:rPr>
        <w:t xml:space="preserve"> Ann.</w:t>
      </w:r>
      <w:r w:rsidRPr="00E26603">
        <w:rPr>
          <w:color w:val="000000"/>
          <w:szCs w:val="22"/>
          <w:lang w:val="fr-FR"/>
        </w:rPr>
        <w:t xml:space="preserve"> § </w:t>
      </w:r>
      <w:r w:rsidRPr="0014127B">
        <w:rPr>
          <w:color w:val="000000"/>
          <w:szCs w:val="22"/>
          <w:lang w:val="fr-FR"/>
        </w:rPr>
        <w:t>112.051.</w:t>
      </w:r>
    </w:p>
  </w:footnote>
  <w:footnote w:id="61">
    <w:p w14:paraId="76C1AFCA" w14:textId="046549B0" w:rsidR="0070346C" w:rsidRPr="0014127B" w:rsidRDefault="0070346C" w:rsidP="00561F7C">
      <w:pPr>
        <w:pStyle w:val="FootnoteText"/>
        <w:tabs>
          <w:tab w:val="clear" w:pos="600"/>
          <w:tab w:val="left" w:pos="605"/>
        </w:tabs>
        <w:spacing w:line="480" w:lineRule="auto"/>
        <w:rPr>
          <w:color w:val="000000"/>
          <w:szCs w:val="22"/>
          <w:lang w:val="fr-FR"/>
        </w:rPr>
      </w:pPr>
      <w:r w:rsidRPr="0014127B">
        <w:rPr>
          <w:color w:val="000000"/>
          <w:szCs w:val="22"/>
          <w:lang w:val="fr-FR"/>
        </w:rPr>
        <w:tab/>
      </w:r>
      <w:r w:rsidRPr="00E26603">
        <w:rPr>
          <w:rStyle w:val="FootnoteReference"/>
          <w:color w:val="000000"/>
          <w:sz w:val="16"/>
          <w:szCs w:val="22"/>
          <w:vertAlign w:val="baseline"/>
        </w:rPr>
        <w:footnoteRef/>
      </w:r>
      <w:r w:rsidRPr="0014127B">
        <w:rPr>
          <w:color w:val="000000"/>
          <w:szCs w:val="22"/>
          <w:lang w:val="fr-FR"/>
        </w:rPr>
        <w:t>.</w:t>
      </w:r>
      <w:r w:rsidRPr="0014127B">
        <w:rPr>
          <w:color w:val="000000"/>
          <w:szCs w:val="22"/>
          <w:lang w:val="fr-FR"/>
        </w:rPr>
        <w:tab/>
      </w:r>
      <w:r w:rsidRPr="00E26603">
        <w:rPr>
          <w:smallCaps/>
          <w:color w:val="000000"/>
          <w:szCs w:val="22"/>
          <w:lang w:val="fr-FR"/>
        </w:rPr>
        <w:t xml:space="preserve">Tex. </w:t>
      </w:r>
      <w:r>
        <w:rPr>
          <w:smallCaps/>
          <w:color w:val="000000"/>
          <w:szCs w:val="22"/>
          <w:lang w:val="fr-FR"/>
        </w:rPr>
        <w:t>Prop.</w:t>
      </w:r>
      <w:r w:rsidRPr="00E26603">
        <w:rPr>
          <w:smallCaps/>
          <w:color w:val="000000"/>
          <w:szCs w:val="22"/>
          <w:lang w:val="fr-FR"/>
        </w:rPr>
        <w:t xml:space="preserve"> Code</w:t>
      </w:r>
      <w:r>
        <w:rPr>
          <w:smallCaps/>
          <w:color w:val="000000"/>
          <w:szCs w:val="22"/>
          <w:lang w:val="fr-FR"/>
        </w:rPr>
        <w:t xml:space="preserve"> Ann.</w:t>
      </w:r>
      <w:r w:rsidRPr="00E26603">
        <w:rPr>
          <w:color w:val="000000"/>
          <w:szCs w:val="22"/>
          <w:lang w:val="fr-FR"/>
        </w:rPr>
        <w:t xml:space="preserve"> § 11</w:t>
      </w:r>
      <w:r>
        <w:rPr>
          <w:color w:val="000000"/>
          <w:szCs w:val="22"/>
          <w:lang w:val="fr-FR"/>
        </w:rPr>
        <w:t>1.0035.</w:t>
      </w:r>
    </w:p>
  </w:footnote>
  <w:footnote w:id="62">
    <w:p w14:paraId="7F81E000" w14:textId="0341FBCE" w:rsidR="0070346C" w:rsidRPr="0014127B" w:rsidRDefault="0070346C" w:rsidP="00561F7C">
      <w:pPr>
        <w:pStyle w:val="FootnoteText"/>
        <w:tabs>
          <w:tab w:val="clear" w:pos="600"/>
          <w:tab w:val="left" w:pos="605"/>
        </w:tabs>
        <w:spacing w:line="480" w:lineRule="auto"/>
        <w:rPr>
          <w:color w:val="000000"/>
          <w:szCs w:val="22"/>
          <w:lang w:val="fr-FR"/>
        </w:rPr>
      </w:pPr>
      <w:r w:rsidRPr="0014127B">
        <w:rPr>
          <w:color w:val="000000"/>
          <w:szCs w:val="22"/>
          <w:lang w:val="fr-FR"/>
        </w:rPr>
        <w:tab/>
      </w:r>
      <w:r w:rsidRPr="00E26603">
        <w:rPr>
          <w:rStyle w:val="FootnoteReference"/>
          <w:color w:val="000000"/>
          <w:sz w:val="16"/>
          <w:szCs w:val="22"/>
          <w:vertAlign w:val="baseline"/>
        </w:rPr>
        <w:footnoteRef/>
      </w:r>
      <w:r w:rsidRPr="0014127B">
        <w:rPr>
          <w:color w:val="000000"/>
          <w:szCs w:val="22"/>
          <w:lang w:val="fr-FR"/>
        </w:rPr>
        <w:t>.</w:t>
      </w:r>
      <w:r w:rsidRPr="0014127B">
        <w:rPr>
          <w:color w:val="000000"/>
          <w:szCs w:val="22"/>
          <w:lang w:val="fr-FR"/>
        </w:rPr>
        <w:tab/>
      </w:r>
      <w:r w:rsidRPr="0014127B">
        <w:rPr>
          <w:i/>
          <w:iCs/>
          <w:color w:val="000000"/>
          <w:szCs w:val="22"/>
          <w:lang w:val="fr-FR"/>
        </w:rPr>
        <w:t>See infra</w:t>
      </w:r>
      <w:r w:rsidRPr="0014127B">
        <w:rPr>
          <w:color w:val="000000"/>
          <w:szCs w:val="22"/>
          <w:lang w:val="fr-FR"/>
        </w:rPr>
        <w:t xml:space="preserve"> Section C. 1–3.</w:t>
      </w:r>
    </w:p>
  </w:footnote>
  <w:footnote w:id="63">
    <w:p w14:paraId="347B5783" w14:textId="3CC89052" w:rsidR="0070346C" w:rsidRPr="00E26603" w:rsidRDefault="0070346C" w:rsidP="00561F7C">
      <w:pPr>
        <w:pStyle w:val="FootnoteText"/>
        <w:tabs>
          <w:tab w:val="clear" w:pos="600"/>
          <w:tab w:val="left" w:pos="605"/>
        </w:tabs>
        <w:spacing w:line="480" w:lineRule="auto"/>
        <w:rPr>
          <w:color w:val="000000"/>
          <w:szCs w:val="22"/>
        </w:rPr>
      </w:pPr>
      <w:r w:rsidRPr="0014127B">
        <w:rPr>
          <w:color w:val="000000"/>
          <w:szCs w:val="22"/>
          <w:lang w:val="fr-FR"/>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smallCaps/>
          <w:color w:val="000000"/>
          <w:szCs w:val="22"/>
          <w:lang w:val="fr-FR"/>
        </w:rPr>
        <w:t xml:space="preserve">Tex. </w:t>
      </w:r>
      <w:r>
        <w:rPr>
          <w:smallCaps/>
          <w:color w:val="000000"/>
          <w:szCs w:val="22"/>
          <w:lang w:val="fr-FR"/>
        </w:rPr>
        <w:t>Prop.</w:t>
      </w:r>
      <w:r w:rsidRPr="00E26603">
        <w:rPr>
          <w:smallCaps/>
          <w:color w:val="000000"/>
          <w:szCs w:val="22"/>
          <w:lang w:val="fr-FR"/>
        </w:rPr>
        <w:t xml:space="preserve"> Code</w:t>
      </w:r>
      <w:r>
        <w:rPr>
          <w:smallCaps/>
          <w:color w:val="000000"/>
          <w:szCs w:val="22"/>
          <w:lang w:val="fr-FR"/>
        </w:rPr>
        <w:t xml:space="preserve"> Ann.</w:t>
      </w:r>
      <w:r w:rsidRPr="00E26603">
        <w:rPr>
          <w:color w:val="000000"/>
          <w:szCs w:val="22"/>
          <w:lang w:val="fr-FR"/>
        </w:rPr>
        <w:t xml:space="preserve"> § 11</w:t>
      </w:r>
      <w:r>
        <w:rPr>
          <w:color w:val="000000"/>
          <w:szCs w:val="22"/>
          <w:lang w:val="fr-FR"/>
        </w:rPr>
        <w:t>3.051.</w:t>
      </w:r>
    </w:p>
  </w:footnote>
  <w:footnote w:id="64">
    <w:p w14:paraId="7AD90BA3" w14:textId="70572FD8"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sidRPr="00D20B9A">
        <w:rPr>
          <w:i/>
          <w:iCs/>
          <w:color w:val="000000"/>
          <w:szCs w:val="22"/>
        </w:rPr>
        <w:t xml:space="preserve"> </w:t>
      </w:r>
      <w:r>
        <w:rPr>
          <w:i/>
          <w:iCs/>
          <w:color w:val="000000"/>
          <w:szCs w:val="22"/>
        </w:rPr>
        <w:tab/>
        <w:t xml:space="preserve">See, </w:t>
      </w:r>
      <w:r>
        <w:rPr>
          <w:iCs/>
          <w:smallCaps/>
          <w:color w:val="000000"/>
          <w:szCs w:val="22"/>
        </w:rPr>
        <w:t xml:space="preserve">Cresswell et al., </w:t>
      </w:r>
      <w:r>
        <w:rPr>
          <w:i/>
          <w:color w:val="000000"/>
          <w:szCs w:val="22"/>
        </w:rPr>
        <w:t>supra</w:t>
      </w:r>
      <w:r>
        <w:rPr>
          <w:iCs/>
          <w:color w:val="000000"/>
          <w:szCs w:val="22"/>
        </w:rPr>
        <w:t xml:space="preserve"> note </w:t>
      </w:r>
      <w:r>
        <w:rPr>
          <w:iCs/>
          <w:color w:val="000000"/>
          <w:szCs w:val="22"/>
        </w:rPr>
        <w:fldChar w:fldCharType="begin"/>
      </w:r>
      <w:r>
        <w:rPr>
          <w:iCs/>
          <w:color w:val="000000"/>
          <w:szCs w:val="22"/>
        </w:rPr>
        <w:instrText xml:space="preserve"> NOTEREF _Ref33802168 \h  \* MERGEFORMAT </w:instrText>
      </w:r>
      <w:r>
        <w:rPr>
          <w:iCs/>
          <w:color w:val="000000"/>
          <w:szCs w:val="22"/>
        </w:rPr>
      </w:r>
      <w:r>
        <w:rPr>
          <w:iCs/>
          <w:color w:val="000000"/>
          <w:szCs w:val="22"/>
        </w:rPr>
        <w:fldChar w:fldCharType="separate"/>
      </w:r>
      <w:r>
        <w:rPr>
          <w:iCs/>
          <w:color w:val="000000"/>
          <w:szCs w:val="22"/>
        </w:rPr>
        <w:t>9</w:t>
      </w:r>
      <w:r>
        <w:rPr>
          <w:iCs/>
          <w:color w:val="000000"/>
          <w:szCs w:val="22"/>
        </w:rPr>
        <w:fldChar w:fldCharType="end"/>
      </w:r>
      <w:r>
        <w:rPr>
          <w:iCs/>
          <w:color w:val="000000"/>
          <w:szCs w:val="22"/>
        </w:rPr>
        <w:t xml:space="preserve">, </w:t>
      </w:r>
      <w:r w:rsidRPr="00E26603">
        <w:rPr>
          <w:color w:val="000000"/>
          <w:szCs w:val="22"/>
        </w:rPr>
        <w:t xml:space="preserve">§ </w:t>
      </w:r>
      <w:r>
        <w:rPr>
          <w:color w:val="000000"/>
          <w:szCs w:val="22"/>
        </w:rPr>
        <w:t>5:127.</w:t>
      </w:r>
    </w:p>
  </w:footnote>
  <w:footnote w:id="65">
    <w:p w14:paraId="73A05E41" w14:textId="5BD36754" w:rsidR="0070346C" w:rsidRPr="0014127B" w:rsidRDefault="0070346C" w:rsidP="00561F7C">
      <w:pPr>
        <w:pStyle w:val="FootnoteText"/>
        <w:tabs>
          <w:tab w:val="clear" w:pos="600"/>
          <w:tab w:val="left" w:pos="605"/>
        </w:tabs>
        <w:spacing w:line="480" w:lineRule="auto"/>
        <w:rPr>
          <w:color w:val="000000"/>
          <w:szCs w:val="22"/>
          <w:lang w:val="fr-FR"/>
        </w:rPr>
      </w:pPr>
      <w:r>
        <w:rPr>
          <w:color w:val="000000"/>
          <w:szCs w:val="22"/>
        </w:rPr>
        <w:tab/>
      </w:r>
      <w:r w:rsidRPr="00E26603">
        <w:rPr>
          <w:rStyle w:val="FootnoteReference"/>
          <w:color w:val="000000"/>
          <w:sz w:val="16"/>
          <w:szCs w:val="22"/>
          <w:vertAlign w:val="baseline"/>
        </w:rPr>
        <w:footnoteRef/>
      </w:r>
      <w:r w:rsidRPr="0014127B">
        <w:rPr>
          <w:color w:val="000000"/>
          <w:szCs w:val="22"/>
          <w:lang w:val="fr-FR"/>
        </w:rPr>
        <w:t>.</w:t>
      </w:r>
      <w:r w:rsidRPr="0014127B">
        <w:rPr>
          <w:color w:val="000000"/>
          <w:szCs w:val="22"/>
          <w:lang w:val="fr-FR"/>
        </w:rPr>
        <w:tab/>
      </w:r>
      <w:r w:rsidRPr="0014127B">
        <w:rPr>
          <w:smallCaps/>
          <w:color w:val="000000"/>
          <w:szCs w:val="22"/>
          <w:lang w:val="fr-FR"/>
        </w:rPr>
        <w:t>Tex. Prop. Code Ann.</w:t>
      </w:r>
      <w:r w:rsidRPr="0014127B">
        <w:rPr>
          <w:color w:val="000000"/>
          <w:szCs w:val="22"/>
          <w:lang w:val="fr-FR"/>
        </w:rPr>
        <w:t xml:space="preserve"> </w:t>
      </w:r>
      <w:r w:rsidRPr="00E26603">
        <w:rPr>
          <w:color w:val="000000"/>
          <w:szCs w:val="22"/>
          <w:lang w:val="fr-FR"/>
        </w:rPr>
        <w:t>§ 111.0035(a).</w:t>
      </w:r>
    </w:p>
  </w:footnote>
  <w:footnote w:id="66">
    <w:p w14:paraId="77B50075" w14:textId="173A2F15" w:rsidR="0070346C" w:rsidRPr="0014127B" w:rsidRDefault="0070346C" w:rsidP="00561F7C">
      <w:pPr>
        <w:pStyle w:val="FootnoteText"/>
        <w:spacing w:line="480" w:lineRule="auto"/>
        <w:rPr>
          <w:i/>
          <w:iCs/>
          <w:szCs w:val="16"/>
        </w:rPr>
      </w:pPr>
      <w:r w:rsidRPr="0014127B">
        <w:rPr>
          <w:szCs w:val="16"/>
          <w:lang w:val="fr-FR"/>
        </w:rPr>
        <w:tab/>
      </w:r>
      <w:r w:rsidRPr="0014127B">
        <w:rPr>
          <w:rStyle w:val="FootnoteReference"/>
          <w:sz w:val="16"/>
          <w:szCs w:val="16"/>
          <w:vertAlign w:val="baseline"/>
        </w:rPr>
        <w:footnoteRef/>
      </w:r>
      <w:r>
        <w:rPr>
          <w:szCs w:val="16"/>
        </w:rPr>
        <w:t>.</w:t>
      </w:r>
      <w:r>
        <w:rPr>
          <w:szCs w:val="16"/>
        </w:rPr>
        <w:tab/>
      </w:r>
      <w:r>
        <w:rPr>
          <w:i/>
          <w:iCs/>
          <w:szCs w:val="16"/>
        </w:rPr>
        <w:t>See id.</w:t>
      </w:r>
    </w:p>
  </w:footnote>
  <w:footnote w:id="67">
    <w:p w14:paraId="6A4CCF22" w14:textId="35CB8611"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color w:val="000000"/>
          <w:szCs w:val="22"/>
        </w:rPr>
        <w:t xml:space="preserve">See </w:t>
      </w:r>
      <w:r>
        <w:rPr>
          <w:i/>
          <w:color w:val="000000"/>
          <w:szCs w:val="22"/>
        </w:rPr>
        <w:t xml:space="preserve">id. </w:t>
      </w:r>
      <w:r w:rsidRPr="00E26603">
        <w:rPr>
          <w:color w:val="000000"/>
          <w:szCs w:val="22"/>
        </w:rPr>
        <w:t xml:space="preserve">§ 111.002 (If the terms of this subtitle and the terms of a trust conflict, the terms of the trust control </w:t>
      </w:r>
      <w:r w:rsidRPr="00E26603">
        <w:rPr>
          <w:color w:val="000000"/>
          <w:szCs w:val="22"/>
        </w:rPr>
        <w:t>. . . .);</w:t>
      </w:r>
      <w:r>
        <w:rPr>
          <w:color w:val="000000"/>
          <w:szCs w:val="22"/>
        </w:rPr>
        <w:t xml:space="preserve"> </w:t>
      </w:r>
      <w:r>
        <w:rPr>
          <w:i/>
          <w:color w:val="000000"/>
          <w:szCs w:val="22"/>
        </w:rPr>
        <w:t>s</w:t>
      </w:r>
      <w:r w:rsidRPr="00E26603">
        <w:rPr>
          <w:i/>
          <w:color w:val="000000"/>
          <w:szCs w:val="22"/>
        </w:rPr>
        <w:t xml:space="preserve">ee </w:t>
      </w:r>
      <w:r>
        <w:rPr>
          <w:i/>
          <w:color w:val="000000"/>
          <w:szCs w:val="22"/>
        </w:rPr>
        <w:t>id</w:t>
      </w:r>
      <w:r>
        <w:rPr>
          <w:smallCaps/>
          <w:color w:val="000000"/>
          <w:szCs w:val="22"/>
        </w:rPr>
        <w:t xml:space="preserve">. </w:t>
      </w:r>
      <w:r w:rsidRPr="00E26603">
        <w:rPr>
          <w:color w:val="000000"/>
          <w:szCs w:val="22"/>
        </w:rPr>
        <w:t xml:space="preserve">§ 113.001 (“A power given to a trustee [under the Trust Code] does not apply to a trust to the extent that the instrument creating the trust . . . conflicts with or limits the power.”); </w:t>
      </w:r>
      <w:r>
        <w:rPr>
          <w:i/>
          <w:color w:val="000000"/>
          <w:szCs w:val="22"/>
        </w:rPr>
        <w:t>s</w:t>
      </w:r>
      <w:r w:rsidRPr="00E26603">
        <w:rPr>
          <w:i/>
          <w:color w:val="000000"/>
          <w:szCs w:val="22"/>
        </w:rPr>
        <w:t xml:space="preserve">ee </w:t>
      </w:r>
      <w:r>
        <w:rPr>
          <w:i/>
          <w:color w:val="000000"/>
          <w:szCs w:val="22"/>
        </w:rPr>
        <w:t>id</w:t>
      </w:r>
      <w:r>
        <w:rPr>
          <w:smallCaps/>
          <w:color w:val="000000"/>
          <w:szCs w:val="22"/>
        </w:rPr>
        <w:t xml:space="preserve">. </w:t>
      </w:r>
      <w:r w:rsidRPr="00E26603">
        <w:rPr>
          <w:color w:val="000000"/>
          <w:szCs w:val="22"/>
        </w:rPr>
        <w:t xml:space="preserve">§ 113.051 (The trustee shall administer the trust according to its terms and this subtitle.  In the absence of any contrary terms in the trust instrument or contrary provisions of this subtitle, in administering the trust, the trustee shall perform all of the duties imposed on trustees by the common law.); </w:t>
      </w:r>
      <w:r>
        <w:rPr>
          <w:i/>
          <w:color w:val="000000"/>
          <w:szCs w:val="22"/>
        </w:rPr>
        <w:t>s</w:t>
      </w:r>
      <w:r w:rsidRPr="00E26603">
        <w:rPr>
          <w:i/>
          <w:color w:val="000000"/>
          <w:szCs w:val="22"/>
        </w:rPr>
        <w:t xml:space="preserve">ee </w:t>
      </w:r>
      <w:r>
        <w:rPr>
          <w:i/>
          <w:color w:val="000000"/>
          <w:szCs w:val="22"/>
        </w:rPr>
        <w:t>id</w:t>
      </w:r>
      <w:r>
        <w:rPr>
          <w:smallCaps/>
          <w:color w:val="000000"/>
          <w:szCs w:val="22"/>
        </w:rPr>
        <w:t>.</w:t>
      </w:r>
      <w:r w:rsidRPr="00E26603">
        <w:rPr>
          <w:color w:val="000000"/>
          <w:szCs w:val="22"/>
        </w:rPr>
        <w:t xml:space="preserve"> § 113.059(a) (“[A] Settlor by provision in an instrument creating, modifying, amending, or revoking the trust may relieve the trustee from a duty, liability, or restriction imposed by this subtitle.”); </w:t>
      </w:r>
      <w:r w:rsidRPr="00CC72ED">
        <w:rPr>
          <w:iCs/>
          <w:color w:val="000000"/>
          <w:szCs w:val="22"/>
        </w:rPr>
        <w:t>Beaty v. Bales</w:t>
      </w:r>
      <w:r w:rsidRPr="00E26603">
        <w:rPr>
          <w:color w:val="000000"/>
          <w:szCs w:val="22"/>
        </w:rPr>
        <w:t xml:space="preserve">, 677 S.W.2d 750, 754 (Tex. App.—San Antonio 1984) (“. . . the trustee’s powers are conferred by the instrument and neither the court nor the trustee can add or take away such power.  The trust is entitled to that construction which the maker intended.); </w:t>
      </w:r>
      <w:r w:rsidRPr="00CC72ED">
        <w:rPr>
          <w:iCs/>
          <w:color w:val="000000"/>
          <w:szCs w:val="22"/>
        </w:rPr>
        <w:t>Bleiden v. Greenspan</w:t>
      </w:r>
      <w:r w:rsidRPr="00E26603">
        <w:rPr>
          <w:color w:val="000000"/>
          <w:szCs w:val="22"/>
        </w:rPr>
        <w:t xml:space="preserve">, 742 S.W.2d 93, 96 (Tex. Ct. App.—Beaumont 1987) (citations omitted), </w:t>
      </w:r>
      <w:r w:rsidRPr="00E26603">
        <w:rPr>
          <w:i/>
          <w:color w:val="000000"/>
          <w:szCs w:val="22"/>
        </w:rPr>
        <w:t>rev’d on other ground</w:t>
      </w:r>
      <w:r w:rsidRPr="00E26603">
        <w:rPr>
          <w:color w:val="000000"/>
          <w:szCs w:val="22"/>
        </w:rPr>
        <w:t>s, 751 S.W.2d 858 (1988) (“[I]t is well settled and elementary that the supreme goal of construing a trust instrument or a testamentary instrument, is to determine the intent of the testator-trustor-settlor.”).</w:t>
      </w:r>
    </w:p>
  </w:footnote>
  <w:footnote w:id="68">
    <w:p w14:paraId="1FB33E5E" w14:textId="5229C20A" w:rsidR="0070346C" w:rsidRPr="00E26603" w:rsidRDefault="0070346C" w:rsidP="00561F7C">
      <w:pPr>
        <w:pStyle w:val="FootnoteText"/>
        <w:tabs>
          <w:tab w:val="clear" w:pos="600"/>
          <w:tab w:val="left" w:pos="605"/>
        </w:tabs>
        <w:spacing w:line="480" w:lineRule="auto"/>
        <w:rPr>
          <w:i/>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Nowlin v. First Nat’l Bank</w:t>
      </w:r>
      <w:r>
        <w:rPr>
          <w:color w:val="000000"/>
          <w:szCs w:val="22"/>
        </w:rPr>
        <w:t>, 908 S.W.2d 283, 286 (Tex. App.—Houston [1st Dist.] 1995).</w:t>
      </w:r>
    </w:p>
  </w:footnote>
  <w:footnote w:id="69">
    <w:p w14:paraId="3A6C6F05" w14:textId="575AD83B"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color w:val="000000"/>
          <w:szCs w:val="22"/>
        </w:rPr>
        <w:t>See</w:t>
      </w:r>
      <w:r>
        <w:rPr>
          <w:i/>
          <w:color w:val="000000"/>
          <w:szCs w:val="22"/>
        </w:rPr>
        <w:t xml:space="preserve"> id</w:t>
      </w:r>
      <w:r>
        <w:rPr>
          <w:smallCaps/>
          <w:color w:val="000000"/>
          <w:szCs w:val="22"/>
        </w:rPr>
        <w:t>.</w:t>
      </w:r>
      <w:r w:rsidRPr="00E26603">
        <w:rPr>
          <w:color w:val="000000"/>
          <w:szCs w:val="22"/>
        </w:rPr>
        <w:t xml:space="preserve"> § 111.005.</w:t>
      </w:r>
    </w:p>
  </w:footnote>
  <w:footnote w:id="70">
    <w:p w14:paraId="636A759C" w14:textId="065DF335" w:rsidR="0070346C" w:rsidRPr="0014127B" w:rsidRDefault="0070346C" w:rsidP="00561F7C">
      <w:pPr>
        <w:pStyle w:val="FootnoteText"/>
        <w:spacing w:line="480" w:lineRule="auto"/>
        <w:rPr>
          <w:color w:val="000000"/>
          <w:szCs w:val="16"/>
        </w:rPr>
      </w:pPr>
      <w:r>
        <w:rPr>
          <w:szCs w:val="16"/>
        </w:rPr>
        <w:tab/>
      </w:r>
      <w:r w:rsidRPr="00B6570A">
        <w:rPr>
          <w:rStyle w:val="FootnoteReference"/>
          <w:sz w:val="16"/>
          <w:szCs w:val="16"/>
          <w:vertAlign w:val="baseline"/>
        </w:rPr>
        <w:footnoteRef/>
      </w:r>
      <w:r>
        <w:rPr>
          <w:szCs w:val="16"/>
        </w:rPr>
        <w:t xml:space="preserve">. </w:t>
      </w:r>
      <w:r>
        <w:rPr>
          <w:szCs w:val="16"/>
        </w:rPr>
        <w:tab/>
      </w:r>
      <w:r w:rsidRPr="00DD31D2">
        <w:rPr>
          <w:color w:val="000000"/>
          <w:szCs w:val="16"/>
        </w:rPr>
        <w:t xml:space="preserve"> </w:t>
      </w:r>
      <w:r>
        <w:rPr>
          <w:color w:val="000000"/>
          <w:szCs w:val="16"/>
        </w:rPr>
        <w:t xml:space="preserve">Mary C. Burdette, What Every Trustee Should Know, </w:t>
      </w:r>
      <w:r w:rsidRPr="007E54CA">
        <w:rPr>
          <w:color w:val="000000"/>
          <w:szCs w:val="16"/>
        </w:rPr>
        <w:t>Presented During the State Bar of Texas 201</w:t>
      </w:r>
      <w:r>
        <w:rPr>
          <w:color w:val="000000"/>
          <w:szCs w:val="16"/>
        </w:rPr>
        <w:t>4</w:t>
      </w:r>
      <w:r w:rsidRPr="007E54CA">
        <w:rPr>
          <w:color w:val="000000"/>
          <w:szCs w:val="16"/>
        </w:rPr>
        <w:t xml:space="preserve"> Estate Planning and Probate Drafting Course, </w:t>
      </w:r>
      <w:r w:rsidRPr="007E54CA">
        <w:rPr>
          <w:i/>
          <w:color w:val="000000"/>
          <w:szCs w:val="16"/>
        </w:rPr>
        <w:t>in</w:t>
      </w:r>
      <w:r w:rsidRPr="007E54CA">
        <w:rPr>
          <w:color w:val="000000"/>
          <w:szCs w:val="16"/>
        </w:rPr>
        <w:t xml:space="preserve"> </w:t>
      </w:r>
      <w:r w:rsidRPr="007E54CA">
        <w:rPr>
          <w:smallCaps/>
          <w:color w:val="000000"/>
          <w:szCs w:val="16"/>
        </w:rPr>
        <w:t>St. B. of Tex. 2016 Est. Plan. &amp; Prob. Drafting Course</w:t>
      </w:r>
      <w:r w:rsidRPr="007E54CA">
        <w:rPr>
          <w:color w:val="000000"/>
          <w:szCs w:val="16"/>
        </w:rPr>
        <w:t xml:space="preserve"> (Oct. 201</w:t>
      </w:r>
      <w:r>
        <w:rPr>
          <w:color w:val="000000"/>
          <w:szCs w:val="16"/>
        </w:rPr>
        <w:t>4</w:t>
      </w:r>
      <w:r w:rsidRPr="007E54CA">
        <w:rPr>
          <w:color w:val="000000"/>
          <w:szCs w:val="16"/>
        </w:rPr>
        <w:t>).</w:t>
      </w:r>
    </w:p>
  </w:footnote>
  <w:footnote w:id="71">
    <w:p w14:paraId="6CEBE89B" w14:textId="6F21A62C" w:rsidR="0070346C" w:rsidRPr="00E26603" w:rsidRDefault="0070346C" w:rsidP="00561F7C">
      <w:pPr>
        <w:pStyle w:val="FootnoteText"/>
        <w:tabs>
          <w:tab w:val="clear" w:pos="600"/>
          <w:tab w:val="left" w:pos="605"/>
        </w:tabs>
        <w:spacing w:line="480" w:lineRule="auto"/>
        <w:rPr>
          <w:color w:val="000000"/>
          <w:szCs w:val="22"/>
        </w:rPr>
      </w:pPr>
      <w:r>
        <w:rPr>
          <w:i/>
          <w:color w:val="000000"/>
          <w:szCs w:val="22"/>
        </w:rPr>
        <w:tab/>
      </w:r>
      <w:r w:rsidRPr="00E26603">
        <w:rPr>
          <w:rStyle w:val="FootnoteReference"/>
          <w:color w:val="000000"/>
          <w:sz w:val="16"/>
          <w:szCs w:val="22"/>
          <w:vertAlign w:val="baseline"/>
        </w:rPr>
        <w:footnoteRef/>
      </w:r>
      <w:r>
        <w:rPr>
          <w:i/>
          <w:color w:val="000000"/>
          <w:szCs w:val="22"/>
        </w:rPr>
        <w:t>.</w:t>
      </w:r>
      <w:r>
        <w:rPr>
          <w:i/>
          <w:color w:val="000000"/>
          <w:szCs w:val="22"/>
        </w:rPr>
        <w:tab/>
        <w:t>Id.</w:t>
      </w:r>
    </w:p>
  </w:footnote>
  <w:footnote w:id="72">
    <w:p w14:paraId="314781B0" w14:textId="78F0D746" w:rsidR="0070346C" w:rsidRPr="00E26603" w:rsidRDefault="0070346C" w:rsidP="00561F7C">
      <w:pPr>
        <w:pStyle w:val="FootnoteText"/>
        <w:tabs>
          <w:tab w:val="clear" w:pos="600"/>
          <w:tab w:val="left" w:pos="605"/>
        </w:tabs>
        <w:spacing w:line="480" w:lineRule="auto"/>
        <w:rPr>
          <w:color w:val="000000"/>
          <w:szCs w:val="22"/>
        </w:rPr>
      </w:pPr>
      <w:r>
        <w:rPr>
          <w:i/>
          <w:color w:val="000000"/>
          <w:szCs w:val="22"/>
        </w:rPr>
        <w:tab/>
      </w:r>
      <w:r w:rsidRPr="00E26603">
        <w:rPr>
          <w:rStyle w:val="FootnoteReference"/>
          <w:color w:val="000000"/>
          <w:sz w:val="16"/>
          <w:szCs w:val="22"/>
          <w:vertAlign w:val="baseline"/>
        </w:rPr>
        <w:footnoteRef/>
      </w:r>
      <w:r>
        <w:rPr>
          <w:i/>
          <w:color w:val="000000"/>
          <w:szCs w:val="22"/>
        </w:rPr>
        <w:t>.</w:t>
      </w:r>
      <w:r>
        <w:rPr>
          <w:i/>
          <w:color w:val="000000"/>
          <w:szCs w:val="22"/>
        </w:rPr>
        <w:tab/>
        <w:t>Id.</w:t>
      </w:r>
      <w:r>
        <w:rPr>
          <w:iCs/>
          <w:color w:val="000000"/>
          <w:szCs w:val="22"/>
        </w:rPr>
        <w:t xml:space="preserve">; </w:t>
      </w:r>
      <w:r w:rsidRPr="002D72C0">
        <w:rPr>
          <w:i/>
          <w:color w:val="000000"/>
          <w:szCs w:val="22"/>
        </w:rPr>
        <w:t>See</w:t>
      </w:r>
      <w:r w:rsidRPr="002D72C0">
        <w:rPr>
          <w:iCs/>
          <w:color w:val="000000"/>
          <w:szCs w:val="22"/>
        </w:rPr>
        <w:t xml:space="preserve"> </w:t>
      </w:r>
      <w:r w:rsidRPr="0014127B">
        <w:rPr>
          <w:iCs/>
          <w:color w:val="000000"/>
          <w:szCs w:val="22"/>
        </w:rPr>
        <w:t>Keisling v. Landrum</w:t>
      </w:r>
      <w:r w:rsidRPr="00E26603">
        <w:rPr>
          <w:color w:val="000000"/>
          <w:szCs w:val="22"/>
        </w:rPr>
        <w:t xml:space="preserve">, 218 S.W.3d 737 (Tex. App.—Fort Worth 2007, </w:t>
      </w:r>
      <w:r w:rsidRPr="0014127B">
        <w:rPr>
          <w:iCs/>
          <w:color w:val="000000"/>
          <w:szCs w:val="22"/>
        </w:rPr>
        <w:t>pet. denied</w:t>
      </w:r>
      <w:r w:rsidRPr="00E26603">
        <w:rPr>
          <w:color w:val="000000"/>
          <w:szCs w:val="22"/>
        </w:rPr>
        <w:t xml:space="preserve">); </w:t>
      </w:r>
      <w:r w:rsidRPr="0014127B">
        <w:rPr>
          <w:iCs/>
          <w:color w:val="000000"/>
          <w:szCs w:val="22"/>
        </w:rPr>
        <w:t>Marsh v. Frost National Bank</w:t>
      </w:r>
      <w:r w:rsidRPr="00E26603">
        <w:rPr>
          <w:color w:val="000000"/>
          <w:szCs w:val="22"/>
        </w:rPr>
        <w:t xml:space="preserve">, 129 S.W.2d 174 (Tex. App.—Corpus Christi 2004, </w:t>
      </w:r>
      <w:r w:rsidRPr="0014127B">
        <w:rPr>
          <w:iCs/>
          <w:color w:val="000000"/>
          <w:szCs w:val="22"/>
        </w:rPr>
        <w:t>writ denied</w:t>
      </w:r>
      <w:r w:rsidRPr="00E26603">
        <w:rPr>
          <w:color w:val="000000"/>
          <w:szCs w:val="22"/>
        </w:rPr>
        <w:t xml:space="preserve">); </w:t>
      </w:r>
      <w:r w:rsidRPr="0014127B">
        <w:rPr>
          <w:iCs/>
          <w:color w:val="000000"/>
          <w:szCs w:val="22"/>
        </w:rPr>
        <w:t>Bergman v. Bergman Davison Webster Charitable Trust</w:t>
      </w:r>
      <w:r w:rsidRPr="00E26603">
        <w:rPr>
          <w:color w:val="000000"/>
          <w:szCs w:val="22"/>
        </w:rPr>
        <w:t xml:space="preserve">, 2004 WL 24968 (Tex. App.—Amarillo 2004, </w:t>
      </w:r>
      <w:r w:rsidRPr="0014127B">
        <w:rPr>
          <w:iCs/>
          <w:color w:val="000000"/>
          <w:szCs w:val="22"/>
        </w:rPr>
        <w:t>no writ</w:t>
      </w:r>
      <w:r w:rsidRPr="00E26603">
        <w:rPr>
          <w:color w:val="000000"/>
          <w:szCs w:val="22"/>
        </w:rPr>
        <w:t>)</w:t>
      </w:r>
      <w:r>
        <w:rPr>
          <w:color w:val="000000"/>
          <w:szCs w:val="22"/>
        </w:rPr>
        <w:t>.</w:t>
      </w:r>
    </w:p>
  </w:footnote>
  <w:footnote w:id="73">
    <w:p w14:paraId="1F470EB0" w14:textId="19FE6866" w:rsidR="0070346C" w:rsidRPr="00CA5476" w:rsidRDefault="0070346C" w:rsidP="00561F7C">
      <w:pPr>
        <w:pStyle w:val="FootnoteText"/>
        <w:tabs>
          <w:tab w:val="clear" w:pos="600"/>
          <w:tab w:val="left" w:pos="605"/>
        </w:tabs>
        <w:spacing w:line="480" w:lineRule="auto"/>
        <w:rPr>
          <w:i/>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Pr>
          <w:color w:val="000000"/>
          <w:szCs w:val="16"/>
        </w:rPr>
        <w:t>Burdette</w:t>
      </w:r>
      <w:r>
        <w:rPr>
          <w:color w:val="000000"/>
          <w:szCs w:val="22"/>
        </w:rPr>
        <w:t xml:space="preserve">, </w:t>
      </w:r>
      <w:r>
        <w:rPr>
          <w:i/>
          <w:iCs/>
          <w:color w:val="000000"/>
          <w:szCs w:val="22"/>
        </w:rPr>
        <w:t xml:space="preserve">supra </w:t>
      </w:r>
      <w:r>
        <w:rPr>
          <w:color w:val="000000"/>
          <w:szCs w:val="22"/>
        </w:rPr>
        <w:t xml:space="preserve">note </w:t>
      </w:r>
      <w:r>
        <w:rPr>
          <w:color w:val="000000"/>
          <w:szCs w:val="22"/>
        </w:rPr>
        <w:fldChar w:fldCharType="begin"/>
      </w:r>
      <w:r>
        <w:rPr>
          <w:color w:val="000000"/>
          <w:szCs w:val="22"/>
        </w:rPr>
        <w:instrText xml:space="preserve"> NOTEREF _Ref33804856 \h  \* MERGEFORMAT </w:instrText>
      </w:r>
      <w:r>
        <w:rPr>
          <w:color w:val="000000"/>
          <w:szCs w:val="22"/>
        </w:rPr>
      </w:r>
      <w:r>
        <w:rPr>
          <w:color w:val="000000"/>
          <w:szCs w:val="22"/>
        </w:rPr>
        <w:fldChar w:fldCharType="separate"/>
      </w:r>
      <w:r>
        <w:rPr>
          <w:color w:val="000000"/>
          <w:szCs w:val="22"/>
        </w:rPr>
        <w:t>71</w:t>
      </w:r>
      <w:r>
        <w:rPr>
          <w:color w:val="000000"/>
          <w:szCs w:val="22"/>
        </w:rPr>
        <w:fldChar w:fldCharType="end"/>
      </w:r>
      <w:r>
        <w:rPr>
          <w:color w:val="000000"/>
          <w:szCs w:val="22"/>
        </w:rPr>
        <w:t>.</w:t>
      </w:r>
    </w:p>
  </w:footnote>
  <w:footnote w:id="74">
    <w:p w14:paraId="23F1CDEB" w14:textId="42A763F8" w:rsidR="0070346C" w:rsidRPr="0014127B" w:rsidRDefault="0070346C" w:rsidP="00561F7C">
      <w:pPr>
        <w:pStyle w:val="FootnoteText"/>
        <w:spacing w:line="480" w:lineRule="auto"/>
        <w:rPr>
          <w:i/>
          <w:iCs/>
          <w:szCs w:val="16"/>
        </w:rPr>
      </w:pPr>
      <w:r>
        <w:rPr>
          <w:szCs w:val="16"/>
        </w:rPr>
        <w:tab/>
      </w:r>
      <w:r w:rsidRPr="0014127B">
        <w:rPr>
          <w:rStyle w:val="FootnoteReference"/>
          <w:sz w:val="16"/>
          <w:szCs w:val="16"/>
          <w:vertAlign w:val="baseline"/>
        </w:rPr>
        <w:footnoteRef/>
      </w:r>
      <w:r>
        <w:rPr>
          <w:szCs w:val="16"/>
        </w:rPr>
        <w:t>.</w:t>
      </w:r>
      <w:r>
        <w:rPr>
          <w:szCs w:val="16"/>
        </w:rPr>
        <w:tab/>
      </w:r>
      <w:r>
        <w:rPr>
          <w:i/>
          <w:iCs/>
          <w:szCs w:val="16"/>
        </w:rPr>
        <w:t>Id.</w:t>
      </w:r>
    </w:p>
  </w:footnote>
  <w:footnote w:id="75">
    <w:p w14:paraId="040B2FF0" w14:textId="53F2B68D" w:rsidR="0070346C" w:rsidRPr="00952D0F"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Id.</w:t>
      </w:r>
    </w:p>
  </w:footnote>
  <w:footnote w:id="76">
    <w:p w14:paraId="3C3AADEE" w14:textId="67AEF46D" w:rsidR="0070346C" w:rsidRPr="00952D0F" w:rsidRDefault="0070346C" w:rsidP="00561F7C">
      <w:pPr>
        <w:pStyle w:val="FootnoteText"/>
        <w:tabs>
          <w:tab w:val="clear" w:pos="600"/>
          <w:tab w:val="left" w:pos="605"/>
        </w:tabs>
        <w:spacing w:line="480" w:lineRule="auto"/>
        <w:rPr>
          <w:i/>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sidRPr="0014127B">
        <w:rPr>
          <w:color w:val="000000"/>
          <w:szCs w:val="22"/>
        </w:rPr>
        <w:t>generally</w:t>
      </w:r>
      <w:r>
        <w:rPr>
          <w:color w:val="000000"/>
          <w:szCs w:val="22"/>
        </w:rPr>
        <w:t xml:space="preserve">, </w:t>
      </w:r>
      <w:r w:rsidRPr="00CE3F50">
        <w:rPr>
          <w:color w:val="000000"/>
          <w:szCs w:val="22"/>
        </w:rPr>
        <w:t>Kara</w:t>
      </w:r>
      <w:r>
        <w:rPr>
          <w:color w:val="000000"/>
          <w:szCs w:val="22"/>
        </w:rPr>
        <w:t xml:space="preserve"> Blanco, </w:t>
      </w:r>
      <w:r>
        <w:rPr>
          <w:i/>
          <w:iCs/>
          <w:color w:val="000000"/>
          <w:szCs w:val="22"/>
        </w:rPr>
        <w:t>The Best of Both Worlds: Incorporating Provisions of the Uniform Trust Code into Texas Law</w:t>
      </w:r>
      <w:r>
        <w:rPr>
          <w:color w:val="000000"/>
          <w:szCs w:val="22"/>
        </w:rPr>
        <w:t xml:space="preserve">, 38 </w:t>
      </w:r>
      <w:r w:rsidRPr="0014127B">
        <w:rPr>
          <w:smallCaps/>
          <w:color w:val="000000"/>
          <w:szCs w:val="22"/>
        </w:rPr>
        <w:t>Tex. Tech L. Rev</w:t>
      </w:r>
      <w:r>
        <w:rPr>
          <w:color w:val="000000"/>
          <w:szCs w:val="22"/>
        </w:rPr>
        <w:t>. 1105 (2006) (exploring the similiarities between the Uniform Trust Code and Texas law).</w:t>
      </w:r>
    </w:p>
  </w:footnote>
  <w:footnote w:id="77">
    <w:p w14:paraId="322F4F97" w14:textId="042D0863" w:rsidR="0070346C" w:rsidRPr="00952D0F" w:rsidRDefault="0070346C" w:rsidP="00561F7C">
      <w:pPr>
        <w:pStyle w:val="FootnoteText"/>
        <w:tabs>
          <w:tab w:val="clear" w:pos="600"/>
          <w:tab w:val="left" w:pos="605"/>
        </w:tabs>
        <w:spacing w:line="480" w:lineRule="auto"/>
        <w:rPr>
          <w:i/>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id.</w:t>
      </w:r>
    </w:p>
  </w:footnote>
  <w:footnote w:id="78">
    <w:p w14:paraId="5C0D1C4F" w14:textId="539AF768"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color w:val="000000"/>
          <w:szCs w:val="22"/>
        </w:rPr>
        <w:t>Uniform Trust Code</w:t>
      </w:r>
      <w:r>
        <w:rPr>
          <w:color w:val="000000"/>
          <w:szCs w:val="22"/>
        </w:rPr>
        <w:t xml:space="preserve">, </w:t>
      </w:r>
      <w:hyperlink w:history="1"/>
      <w:r w:rsidRPr="00305406">
        <w:t xml:space="preserve"> </w:t>
      </w:r>
      <w:r w:rsidRPr="0014127B">
        <w:rPr>
          <w:color w:val="000000"/>
        </w:rPr>
        <w:t>https://en.wikipedia.org/wiki/Uniform_Trust_Code</w:t>
      </w:r>
      <w:r>
        <w:rPr>
          <w:color w:val="000000"/>
          <w:szCs w:val="22"/>
        </w:rPr>
        <w:t xml:space="preserve"> [perma.cc/K2WZ-ABX9e] (last visited February 28, 2020). </w:t>
      </w:r>
    </w:p>
  </w:footnote>
  <w:footnote w:id="79">
    <w:p w14:paraId="7E03F556" w14:textId="7B12394E"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smallCaps/>
          <w:color w:val="000000"/>
          <w:szCs w:val="22"/>
          <w:lang w:val="fr-FR"/>
        </w:rPr>
        <w:t xml:space="preserve">Tex. </w:t>
      </w:r>
      <w:r>
        <w:rPr>
          <w:smallCaps/>
          <w:color w:val="000000"/>
          <w:szCs w:val="22"/>
          <w:lang w:val="fr-FR"/>
        </w:rPr>
        <w:t>Prop.</w:t>
      </w:r>
      <w:r w:rsidRPr="00E26603">
        <w:rPr>
          <w:smallCaps/>
          <w:color w:val="000000"/>
          <w:szCs w:val="22"/>
          <w:lang w:val="fr-FR"/>
        </w:rPr>
        <w:t xml:space="preserve"> Code</w:t>
      </w:r>
      <w:r>
        <w:rPr>
          <w:smallCaps/>
          <w:color w:val="000000"/>
          <w:szCs w:val="22"/>
          <w:lang w:val="fr-FR"/>
        </w:rPr>
        <w:t xml:space="preserve"> Ann.</w:t>
      </w:r>
      <w:r w:rsidRPr="00E26603">
        <w:rPr>
          <w:color w:val="000000"/>
          <w:szCs w:val="22"/>
          <w:lang w:val="fr-FR"/>
        </w:rPr>
        <w:t xml:space="preserve"> § 11</w:t>
      </w:r>
      <w:r>
        <w:rPr>
          <w:color w:val="000000"/>
          <w:szCs w:val="22"/>
          <w:lang w:val="fr-FR"/>
        </w:rPr>
        <w:t>3.051.</w:t>
      </w:r>
    </w:p>
  </w:footnote>
  <w:footnote w:id="80">
    <w:p w14:paraId="78E7E0FF" w14:textId="6460CB9C"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Pr>
          <w:iCs/>
          <w:smallCaps/>
          <w:color w:val="000000"/>
          <w:szCs w:val="22"/>
        </w:rPr>
        <w:t xml:space="preserve">Cresswell et al., </w:t>
      </w:r>
      <w:r>
        <w:rPr>
          <w:i/>
          <w:color w:val="000000"/>
          <w:szCs w:val="22"/>
        </w:rPr>
        <w:t>supra</w:t>
      </w:r>
      <w:r>
        <w:rPr>
          <w:iCs/>
          <w:color w:val="000000"/>
          <w:szCs w:val="22"/>
        </w:rPr>
        <w:t xml:space="preserve"> note </w:t>
      </w:r>
      <w:r>
        <w:rPr>
          <w:iCs/>
          <w:color w:val="000000"/>
          <w:szCs w:val="22"/>
        </w:rPr>
        <w:fldChar w:fldCharType="begin"/>
      </w:r>
      <w:r>
        <w:rPr>
          <w:iCs/>
          <w:color w:val="000000"/>
          <w:szCs w:val="22"/>
        </w:rPr>
        <w:instrText xml:space="preserve"> NOTEREF _Ref33802168 \h  \* MERGEFORMAT </w:instrText>
      </w:r>
      <w:r>
        <w:rPr>
          <w:iCs/>
          <w:color w:val="000000"/>
          <w:szCs w:val="22"/>
        </w:rPr>
      </w:r>
      <w:r>
        <w:rPr>
          <w:iCs/>
          <w:color w:val="000000"/>
          <w:szCs w:val="22"/>
        </w:rPr>
        <w:fldChar w:fldCharType="separate"/>
      </w:r>
      <w:r>
        <w:rPr>
          <w:iCs/>
          <w:color w:val="000000"/>
          <w:szCs w:val="22"/>
        </w:rPr>
        <w:t>9</w:t>
      </w:r>
      <w:r>
        <w:rPr>
          <w:iCs/>
          <w:color w:val="000000"/>
          <w:szCs w:val="22"/>
        </w:rPr>
        <w:fldChar w:fldCharType="end"/>
      </w:r>
      <w:r>
        <w:rPr>
          <w:iCs/>
          <w:color w:val="000000"/>
          <w:szCs w:val="22"/>
        </w:rPr>
        <w:t xml:space="preserve">, </w:t>
      </w:r>
      <w:r w:rsidRPr="00E26603">
        <w:rPr>
          <w:color w:val="000000"/>
          <w:szCs w:val="22"/>
        </w:rPr>
        <w:t xml:space="preserve">§ </w:t>
      </w:r>
      <w:r>
        <w:rPr>
          <w:color w:val="000000"/>
          <w:szCs w:val="22"/>
        </w:rPr>
        <w:t>5:127.</w:t>
      </w:r>
    </w:p>
  </w:footnote>
  <w:footnote w:id="81">
    <w:p w14:paraId="72AF811B" w14:textId="11E61CB5"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color w:val="000000"/>
          <w:szCs w:val="22"/>
        </w:rPr>
        <w:t>See</w:t>
      </w:r>
      <w:r w:rsidRPr="00E26603">
        <w:rPr>
          <w:color w:val="000000"/>
          <w:szCs w:val="22"/>
        </w:rPr>
        <w:t xml:space="preserve"> </w:t>
      </w:r>
      <w:r w:rsidRPr="00CC72ED">
        <w:rPr>
          <w:iCs/>
          <w:color w:val="000000"/>
          <w:szCs w:val="22"/>
        </w:rPr>
        <w:t>Hurley v. Moody Nat. Bank of Galveston</w:t>
      </w:r>
      <w:r w:rsidRPr="00E26603">
        <w:rPr>
          <w:color w:val="000000"/>
          <w:szCs w:val="22"/>
        </w:rPr>
        <w:t>, 98 S.W.3d 307, 310</w:t>
      </w:r>
      <w:r>
        <w:rPr>
          <w:color w:val="000000"/>
          <w:szCs w:val="22"/>
        </w:rPr>
        <w:t>–11</w:t>
      </w:r>
      <w:r w:rsidRPr="00E26603">
        <w:rPr>
          <w:color w:val="000000"/>
          <w:szCs w:val="22"/>
        </w:rPr>
        <w:t xml:space="preserve"> (Tex. App.—Houston [1st Dist.] 2003, </w:t>
      </w:r>
      <w:r w:rsidRPr="0014127B">
        <w:rPr>
          <w:iCs/>
          <w:color w:val="000000"/>
          <w:szCs w:val="22"/>
        </w:rPr>
        <w:t>no pet</w:t>
      </w:r>
      <w:r w:rsidRPr="00E26603">
        <w:rPr>
          <w:color w:val="000000"/>
          <w:szCs w:val="22"/>
        </w:rPr>
        <w:t xml:space="preserve">.) (citing </w:t>
      </w:r>
      <w:r w:rsidRPr="00CC72ED">
        <w:rPr>
          <w:iCs/>
          <w:color w:val="000000"/>
          <w:szCs w:val="22"/>
        </w:rPr>
        <w:t>Rekdahl v. Long</w:t>
      </w:r>
      <w:r w:rsidRPr="00E26603">
        <w:rPr>
          <w:color w:val="000000"/>
          <w:szCs w:val="22"/>
        </w:rPr>
        <w:t xml:space="preserve">, 417 S.W. 2d 387, 389 (Tex. 1967)); </w:t>
      </w:r>
      <w:r w:rsidRPr="00CC72ED">
        <w:rPr>
          <w:iCs/>
          <w:color w:val="000000"/>
          <w:szCs w:val="22"/>
        </w:rPr>
        <w:t>Myrick v. Moody</w:t>
      </w:r>
      <w:r w:rsidRPr="00E26603">
        <w:rPr>
          <w:color w:val="000000"/>
          <w:szCs w:val="22"/>
        </w:rPr>
        <w:t xml:space="preserve">, 802 S.W.2d 735, 738 (Tex. App.—Houston [14th Dist.] 1990, </w:t>
      </w:r>
      <w:r w:rsidRPr="0014127B">
        <w:rPr>
          <w:iCs/>
          <w:color w:val="000000"/>
          <w:szCs w:val="22"/>
        </w:rPr>
        <w:t>writ denied</w:t>
      </w:r>
      <w:r w:rsidRPr="00E26603">
        <w:rPr>
          <w:color w:val="000000"/>
          <w:szCs w:val="22"/>
        </w:rPr>
        <w:t>).</w:t>
      </w:r>
    </w:p>
  </w:footnote>
  <w:footnote w:id="82">
    <w:p w14:paraId="51F8ED5B" w14:textId="14FA2ECA" w:rsidR="0070346C" w:rsidRPr="00952D0F" w:rsidRDefault="0070346C" w:rsidP="00561F7C">
      <w:pPr>
        <w:pStyle w:val="FootnoteText"/>
        <w:tabs>
          <w:tab w:val="clear" w:pos="600"/>
          <w:tab w:val="left" w:pos="605"/>
        </w:tabs>
        <w:spacing w:line="480" w:lineRule="auto"/>
        <w:rPr>
          <w:i/>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Pr>
          <w:iCs/>
          <w:smallCaps/>
          <w:color w:val="000000"/>
          <w:szCs w:val="22"/>
        </w:rPr>
        <w:t xml:space="preserve">Cresswell et al., </w:t>
      </w:r>
      <w:r>
        <w:rPr>
          <w:i/>
          <w:color w:val="000000"/>
          <w:szCs w:val="22"/>
        </w:rPr>
        <w:t>supra</w:t>
      </w:r>
      <w:r>
        <w:rPr>
          <w:iCs/>
          <w:color w:val="000000"/>
          <w:szCs w:val="22"/>
        </w:rPr>
        <w:t xml:space="preserve"> note </w:t>
      </w:r>
      <w:r>
        <w:rPr>
          <w:iCs/>
          <w:color w:val="000000"/>
          <w:szCs w:val="22"/>
        </w:rPr>
        <w:fldChar w:fldCharType="begin"/>
      </w:r>
      <w:r>
        <w:rPr>
          <w:iCs/>
          <w:color w:val="000000"/>
          <w:szCs w:val="22"/>
        </w:rPr>
        <w:instrText xml:space="preserve"> NOTEREF _Ref33802168 \h  \* MERGEFORMAT </w:instrText>
      </w:r>
      <w:r>
        <w:rPr>
          <w:iCs/>
          <w:color w:val="000000"/>
          <w:szCs w:val="22"/>
        </w:rPr>
      </w:r>
      <w:r>
        <w:rPr>
          <w:iCs/>
          <w:color w:val="000000"/>
          <w:szCs w:val="22"/>
        </w:rPr>
        <w:fldChar w:fldCharType="separate"/>
      </w:r>
      <w:r>
        <w:rPr>
          <w:iCs/>
          <w:color w:val="000000"/>
          <w:szCs w:val="22"/>
        </w:rPr>
        <w:t>9</w:t>
      </w:r>
      <w:r>
        <w:rPr>
          <w:iCs/>
          <w:color w:val="000000"/>
          <w:szCs w:val="22"/>
        </w:rPr>
        <w:fldChar w:fldCharType="end"/>
      </w:r>
      <w:r>
        <w:rPr>
          <w:iCs/>
          <w:color w:val="000000"/>
          <w:szCs w:val="22"/>
        </w:rPr>
        <w:t xml:space="preserve">, </w:t>
      </w:r>
      <w:r w:rsidRPr="00E26603">
        <w:rPr>
          <w:color w:val="000000"/>
          <w:szCs w:val="22"/>
        </w:rPr>
        <w:t xml:space="preserve">§ </w:t>
      </w:r>
      <w:r>
        <w:rPr>
          <w:color w:val="000000"/>
          <w:szCs w:val="22"/>
        </w:rPr>
        <w:t>5:127.</w:t>
      </w:r>
    </w:p>
  </w:footnote>
  <w:footnote w:id="83">
    <w:p w14:paraId="55B6A256" w14:textId="5CE1A843" w:rsidR="0070346C" w:rsidRPr="000A4FD6"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sidRPr="0014127B">
        <w:rPr>
          <w:smallCaps/>
          <w:color w:val="000000"/>
          <w:szCs w:val="22"/>
        </w:rPr>
        <w:t>Tex. Prop. Code Ann.</w:t>
      </w:r>
      <w:r w:rsidRPr="0014127B">
        <w:rPr>
          <w:color w:val="000000"/>
          <w:szCs w:val="22"/>
        </w:rPr>
        <w:t xml:space="preserve"> § 112.002.</w:t>
      </w:r>
    </w:p>
  </w:footnote>
  <w:footnote w:id="84">
    <w:p w14:paraId="5A7E94C2" w14:textId="6BE429F5" w:rsidR="0070346C" w:rsidRPr="000A4FD6" w:rsidRDefault="0070346C" w:rsidP="00561F7C">
      <w:pPr>
        <w:pStyle w:val="FootnoteText"/>
        <w:tabs>
          <w:tab w:val="clear" w:pos="600"/>
          <w:tab w:val="left" w:pos="605"/>
        </w:tabs>
        <w:spacing w:line="480" w:lineRule="auto"/>
        <w:rPr>
          <w:i/>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id.</w:t>
      </w:r>
    </w:p>
  </w:footnote>
  <w:footnote w:id="85">
    <w:p w14:paraId="451DB64F" w14:textId="3ADD13C8" w:rsidR="0070346C" w:rsidRPr="000A4FD6" w:rsidRDefault="0070346C" w:rsidP="00561F7C">
      <w:pPr>
        <w:pStyle w:val="FootnoteText"/>
        <w:tabs>
          <w:tab w:val="clear" w:pos="600"/>
          <w:tab w:val="left" w:pos="605"/>
        </w:tabs>
        <w:spacing w:line="480" w:lineRule="auto"/>
        <w:rPr>
          <w:i/>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id.</w:t>
      </w:r>
    </w:p>
  </w:footnote>
  <w:footnote w:id="86">
    <w:p w14:paraId="1FE7DAC1" w14:textId="56928A1C" w:rsidR="0070346C" w:rsidRPr="000A4FD6" w:rsidRDefault="0070346C" w:rsidP="00561F7C">
      <w:pPr>
        <w:pStyle w:val="FootnoteText"/>
        <w:tabs>
          <w:tab w:val="clear" w:pos="600"/>
          <w:tab w:val="left" w:pos="605"/>
        </w:tabs>
        <w:spacing w:line="480" w:lineRule="auto"/>
        <w:rPr>
          <w:i/>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id.</w:t>
      </w:r>
    </w:p>
  </w:footnote>
  <w:footnote w:id="87">
    <w:p w14:paraId="1CBFE0BA" w14:textId="59090C56"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id.</w:t>
      </w:r>
    </w:p>
  </w:footnote>
  <w:footnote w:id="88">
    <w:p w14:paraId="081D0568" w14:textId="13CD858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B3695E">
        <w:rPr>
          <w:i/>
          <w:iCs/>
          <w:color w:val="000000"/>
          <w:szCs w:val="22"/>
        </w:rPr>
        <w:t>See id</w:t>
      </w:r>
      <w:r w:rsidRPr="00B3695E">
        <w:rPr>
          <w:i/>
          <w:color w:val="000000"/>
          <w:szCs w:val="22"/>
        </w:rPr>
        <w:t>.</w:t>
      </w:r>
    </w:p>
  </w:footnote>
  <w:footnote w:id="89">
    <w:p w14:paraId="5C652558" w14:textId="503A231E"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color w:val="000000"/>
          <w:szCs w:val="22"/>
        </w:rPr>
        <w:t xml:space="preserve">Fred Franke &amp; Anna Katherine Moody, </w:t>
      </w:r>
      <w:r w:rsidRPr="00E26603">
        <w:rPr>
          <w:i/>
          <w:iCs/>
          <w:color w:val="000000"/>
          <w:szCs w:val="22"/>
        </w:rPr>
        <w:t>The Terms of the Trust: Extrinsic Evidence of Settlor Intent</w:t>
      </w:r>
      <w:r w:rsidRPr="00E26603">
        <w:rPr>
          <w:color w:val="000000"/>
          <w:szCs w:val="22"/>
        </w:rPr>
        <w:t xml:space="preserve">, 40 </w:t>
      </w:r>
      <w:r w:rsidRPr="00B3695E">
        <w:rPr>
          <w:smallCaps/>
          <w:color w:val="000000"/>
          <w:szCs w:val="22"/>
        </w:rPr>
        <w:t>A</w:t>
      </w:r>
      <w:r>
        <w:rPr>
          <w:smallCaps/>
          <w:color w:val="000000"/>
          <w:szCs w:val="22"/>
        </w:rPr>
        <w:t>ctec</w:t>
      </w:r>
      <w:r w:rsidRPr="00B3695E">
        <w:rPr>
          <w:smallCaps/>
          <w:color w:val="000000"/>
          <w:szCs w:val="22"/>
        </w:rPr>
        <w:t xml:space="preserve"> L.J.</w:t>
      </w:r>
      <w:r w:rsidRPr="00E26603">
        <w:rPr>
          <w:color w:val="000000"/>
          <w:szCs w:val="22"/>
        </w:rPr>
        <w:t xml:space="preserve"> 15</w:t>
      </w:r>
      <w:r>
        <w:rPr>
          <w:color w:val="000000"/>
          <w:szCs w:val="22"/>
        </w:rPr>
        <w:t>–</w:t>
      </w:r>
      <w:r w:rsidRPr="00E26603">
        <w:rPr>
          <w:color w:val="000000"/>
          <w:szCs w:val="22"/>
        </w:rPr>
        <w:t>16 (2014).</w:t>
      </w:r>
    </w:p>
  </w:footnote>
  <w:footnote w:id="90">
    <w:p w14:paraId="2F569482" w14:textId="17976B02" w:rsidR="0070346C" w:rsidRPr="007572B2" w:rsidRDefault="0070346C" w:rsidP="00561F7C">
      <w:pPr>
        <w:pStyle w:val="FootnoteText"/>
        <w:tabs>
          <w:tab w:val="clear" w:pos="600"/>
          <w:tab w:val="left" w:pos="605"/>
        </w:tabs>
        <w:spacing w:line="480" w:lineRule="auto"/>
        <w:rPr>
          <w:color w:val="000000"/>
          <w:szCs w:val="16"/>
        </w:rPr>
      </w:pPr>
      <w:r w:rsidRPr="007572B2">
        <w:rPr>
          <w:color w:val="000000"/>
          <w:szCs w:val="16"/>
        </w:rPr>
        <w:tab/>
      </w:r>
      <w:r w:rsidRPr="007572B2">
        <w:rPr>
          <w:rStyle w:val="FootnoteReference"/>
          <w:color w:val="000000"/>
          <w:sz w:val="16"/>
          <w:szCs w:val="16"/>
          <w:vertAlign w:val="baseline"/>
        </w:rPr>
        <w:footnoteRef/>
      </w:r>
      <w:r w:rsidRPr="007572B2">
        <w:rPr>
          <w:color w:val="000000"/>
          <w:szCs w:val="16"/>
        </w:rPr>
        <w:t>.</w:t>
      </w:r>
      <w:r w:rsidRPr="007572B2">
        <w:rPr>
          <w:color w:val="000000"/>
          <w:szCs w:val="16"/>
        </w:rPr>
        <w:tab/>
      </w:r>
      <w:r w:rsidRPr="007572B2">
        <w:rPr>
          <w:i/>
          <w:iCs/>
          <w:color w:val="000000"/>
          <w:szCs w:val="16"/>
        </w:rPr>
        <w:t>See id</w:t>
      </w:r>
      <w:r w:rsidRPr="007572B2">
        <w:rPr>
          <w:i/>
          <w:color w:val="000000"/>
          <w:szCs w:val="16"/>
        </w:rPr>
        <w:t>.</w:t>
      </w:r>
    </w:p>
  </w:footnote>
  <w:footnote w:id="91">
    <w:p w14:paraId="278C1C84" w14:textId="61621D9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color w:val="000000"/>
          <w:szCs w:val="22"/>
        </w:rPr>
        <w:t xml:space="preserve">Allaya Lloyd, </w:t>
      </w:r>
      <w:r w:rsidRPr="00E26603">
        <w:rPr>
          <w:i/>
          <w:iCs/>
          <w:color w:val="000000"/>
          <w:szCs w:val="22"/>
        </w:rPr>
        <w:t>Ascertainable Standards and Trust Distributions: What You</w:t>
      </w:r>
      <w:r w:rsidRPr="00E26603">
        <w:rPr>
          <w:color w:val="000000"/>
          <w:szCs w:val="22"/>
        </w:rPr>
        <w:t xml:space="preserve"> </w:t>
      </w:r>
      <w:r w:rsidRPr="00E26603">
        <w:rPr>
          <w:i/>
          <w:iCs/>
          <w:color w:val="000000"/>
          <w:szCs w:val="22"/>
        </w:rPr>
        <w:t>Should Know</w:t>
      </w:r>
      <w:r w:rsidRPr="00E26603">
        <w:rPr>
          <w:color w:val="000000"/>
          <w:szCs w:val="22"/>
        </w:rPr>
        <w:t xml:space="preserve">, </w:t>
      </w:r>
      <w:r w:rsidRPr="0014127B">
        <w:rPr>
          <w:smallCaps/>
          <w:color w:val="000000"/>
          <w:szCs w:val="22"/>
        </w:rPr>
        <w:t>Law Office of Lewis J. Saret Blog</w:t>
      </w:r>
      <w:r w:rsidRPr="00E26603">
        <w:rPr>
          <w:color w:val="000000"/>
          <w:szCs w:val="22"/>
        </w:rPr>
        <w:t xml:space="preserve"> (July 10, 2014), lewissaret.com/2014/07/10/ascertainable-standards-and-trust-distributes-what-you-should-know/</w:t>
      </w:r>
      <w:r>
        <w:rPr>
          <w:color w:val="000000"/>
          <w:szCs w:val="22"/>
        </w:rPr>
        <w:t xml:space="preserve"> [perma.cc/P8MG-696Y]</w:t>
      </w:r>
      <w:r w:rsidRPr="00E26603">
        <w:rPr>
          <w:color w:val="000000"/>
          <w:szCs w:val="22"/>
        </w:rPr>
        <w:t>.</w:t>
      </w:r>
      <w:r>
        <w:rPr>
          <w:color w:val="000000"/>
          <w:szCs w:val="22"/>
        </w:rPr>
        <w:t xml:space="preserve"> </w:t>
      </w:r>
    </w:p>
  </w:footnote>
  <w:footnote w:id="92">
    <w:p w14:paraId="452EACE6" w14:textId="20814E55"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63712A">
        <w:rPr>
          <w:i/>
          <w:iCs/>
          <w:color w:val="000000"/>
          <w:szCs w:val="22"/>
        </w:rPr>
        <w:t>See id</w:t>
      </w:r>
      <w:r w:rsidRPr="0063712A">
        <w:rPr>
          <w:i/>
          <w:color w:val="000000"/>
          <w:szCs w:val="22"/>
        </w:rPr>
        <w:t>.</w:t>
      </w:r>
    </w:p>
  </w:footnote>
  <w:footnote w:id="93">
    <w:p w14:paraId="2AABCF32" w14:textId="67CC29FD"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63712A">
        <w:rPr>
          <w:i/>
          <w:iCs/>
          <w:color w:val="000000"/>
          <w:szCs w:val="22"/>
        </w:rPr>
        <w:t>See id</w:t>
      </w:r>
      <w:r w:rsidRPr="0063712A">
        <w:rPr>
          <w:i/>
          <w:color w:val="000000"/>
          <w:szCs w:val="22"/>
        </w:rPr>
        <w:t>.</w:t>
      </w:r>
    </w:p>
  </w:footnote>
  <w:footnote w:id="94">
    <w:p w14:paraId="1C386A43" w14:textId="5752A18E"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63712A">
        <w:rPr>
          <w:i/>
          <w:iCs/>
          <w:color w:val="000000"/>
          <w:szCs w:val="22"/>
        </w:rPr>
        <w:t>See id</w:t>
      </w:r>
      <w:r w:rsidRPr="0063712A">
        <w:rPr>
          <w:i/>
          <w:color w:val="000000"/>
          <w:szCs w:val="22"/>
        </w:rPr>
        <w:t>.</w:t>
      </w:r>
    </w:p>
  </w:footnote>
  <w:footnote w:id="95">
    <w:p w14:paraId="3B514F8D" w14:textId="105027CE"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sidRPr="0063712A">
        <w:rPr>
          <w:iCs/>
          <w:color w:val="000000"/>
          <w:szCs w:val="22"/>
        </w:rPr>
        <w:t xml:space="preserve"> </w:t>
      </w:r>
      <w:r w:rsidRPr="00E26603">
        <w:rPr>
          <w:color w:val="000000"/>
          <w:szCs w:val="22"/>
        </w:rPr>
        <w:t xml:space="preserve">Sarah Patel Pacheco, </w:t>
      </w:r>
      <w:r w:rsidRPr="00E26603">
        <w:rPr>
          <w:i/>
          <w:iCs/>
          <w:color w:val="000000"/>
          <w:szCs w:val="22"/>
        </w:rPr>
        <w:t xml:space="preserve">What Did You Mean </w:t>
      </w:r>
      <w:r w:rsidRPr="00E26603">
        <w:rPr>
          <w:i/>
          <w:iCs/>
          <w:color w:val="000000"/>
          <w:szCs w:val="22"/>
        </w:rPr>
        <w:t>By That? Trust Language and Application by Trustees</w:t>
      </w:r>
      <w:r w:rsidRPr="00E26603">
        <w:rPr>
          <w:color w:val="000000"/>
          <w:szCs w:val="22"/>
        </w:rPr>
        <w:t xml:space="preserve">, </w:t>
      </w:r>
      <w:r w:rsidRPr="00E26603">
        <w:rPr>
          <w:smallCaps/>
          <w:color w:val="000000"/>
          <w:szCs w:val="22"/>
        </w:rPr>
        <w:t>Norris &amp; Weber</w:t>
      </w:r>
      <w:r w:rsidRPr="00E26603">
        <w:rPr>
          <w:color w:val="000000"/>
          <w:szCs w:val="22"/>
        </w:rPr>
        <w:t xml:space="preserve"> (2011), </w:t>
      </w:r>
      <w:r w:rsidRPr="008D0465">
        <w:t xml:space="preserve"> https://www.dallasprobatelawfirm.com/documents/004.-What-Did-You-Mean-By-That.Universal.pdf</w:t>
      </w:r>
      <w:r w:rsidRPr="0014127B">
        <w:rPr>
          <w:rStyle w:val="Hyperlink"/>
          <w:szCs w:val="22"/>
          <w:u w:val="none"/>
        </w:rPr>
        <w:t xml:space="preserve">  </w:t>
      </w:r>
      <w:r w:rsidRPr="003B563C">
        <w:rPr>
          <w:color w:val="000000"/>
          <w:szCs w:val="22"/>
        </w:rPr>
        <w:t>[perma</w:t>
      </w:r>
      <w:r>
        <w:rPr>
          <w:color w:val="000000"/>
          <w:szCs w:val="22"/>
        </w:rPr>
        <w:t>.cc/TP6L-ATYB].</w:t>
      </w:r>
    </w:p>
  </w:footnote>
  <w:footnote w:id="96">
    <w:p w14:paraId="3965AB71" w14:textId="6E13D643" w:rsidR="0070346C" w:rsidRPr="0014127B" w:rsidRDefault="0070346C" w:rsidP="00561F7C">
      <w:pPr>
        <w:pStyle w:val="FootnoteText"/>
        <w:tabs>
          <w:tab w:val="clear" w:pos="600"/>
          <w:tab w:val="left" w:pos="605"/>
        </w:tabs>
        <w:spacing w:line="480" w:lineRule="auto"/>
        <w:rPr>
          <w:color w:val="000000"/>
          <w:szCs w:val="22"/>
          <w:lang w:val="fr-FR"/>
        </w:rPr>
      </w:pPr>
      <w:r>
        <w:rPr>
          <w:color w:val="000000"/>
          <w:szCs w:val="22"/>
        </w:rPr>
        <w:tab/>
      </w:r>
      <w:r w:rsidRPr="00E26603">
        <w:rPr>
          <w:rStyle w:val="FootnoteReference"/>
          <w:color w:val="000000"/>
          <w:sz w:val="16"/>
          <w:szCs w:val="22"/>
          <w:vertAlign w:val="baseline"/>
        </w:rPr>
        <w:footnoteRef/>
      </w:r>
      <w:r w:rsidRPr="0014127B">
        <w:rPr>
          <w:color w:val="000000"/>
          <w:szCs w:val="22"/>
          <w:lang w:val="fr-FR"/>
        </w:rPr>
        <w:t>.</w:t>
      </w:r>
      <w:r w:rsidRPr="0014127B">
        <w:rPr>
          <w:color w:val="000000"/>
          <w:szCs w:val="22"/>
          <w:lang w:val="fr-FR"/>
        </w:rPr>
        <w:tab/>
      </w:r>
      <w:r w:rsidRPr="0014127B">
        <w:rPr>
          <w:smallCaps/>
          <w:color w:val="000000"/>
          <w:szCs w:val="22"/>
          <w:lang w:val="fr-FR"/>
        </w:rPr>
        <w:t>Tex. Prop. Code Ann.</w:t>
      </w:r>
      <w:r w:rsidRPr="0014127B">
        <w:rPr>
          <w:color w:val="000000"/>
          <w:szCs w:val="22"/>
          <w:lang w:val="fr-FR"/>
        </w:rPr>
        <w:t xml:space="preserve"> § 117.003(b).</w:t>
      </w:r>
    </w:p>
  </w:footnote>
  <w:footnote w:id="97">
    <w:p w14:paraId="0C6ED204" w14:textId="0A0FACAC" w:rsidR="0070346C" w:rsidRPr="00E26603" w:rsidRDefault="0070346C" w:rsidP="00561F7C">
      <w:pPr>
        <w:pStyle w:val="FootnoteText"/>
        <w:tabs>
          <w:tab w:val="clear" w:pos="600"/>
          <w:tab w:val="left" w:pos="605"/>
        </w:tabs>
        <w:spacing w:line="480" w:lineRule="auto"/>
        <w:rPr>
          <w:color w:val="000000"/>
          <w:szCs w:val="22"/>
        </w:rPr>
      </w:pPr>
      <w:r w:rsidRPr="0014127B">
        <w:rPr>
          <w:color w:val="000000"/>
          <w:szCs w:val="22"/>
          <w:lang w:val="fr-FR"/>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r w:rsidRPr="00E26603">
        <w:rPr>
          <w:color w:val="000000"/>
          <w:szCs w:val="22"/>
        </w:rPr>
        <w:t>.</w:t>
      </w:r>
      <w:r>
        <w:rPr>
          <w:color w:val="000000"/>
          <w:szCs w:val="22"/>
        </w:rPr>
        <w:t xml:space="preserve"> </w:t>
      </w:r>
      <w:r w:rsidRPr="00E26603">
        <w:rPr>
          <w:color w:val="000000"/>
          <w:szCs w:val="22"/>
        </w:rPr>
        <w:t xml:space="preserve"> § 117.003(a).</w:t>
      </w:r>
    </w:p>
  </w:footnote>
  <w:footnote w:id="98">
    <w:p w14:paraId="127B8D44" w14:textId="4F1B9CC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r w:rsidRPr="00E26603">
        <w:rPr>
          <w:color w:val="000000"/>
          <w:szCs w:val="22"/>
        </w:rPr>
        <w:t>.</w:t>
      </w:r>
      <w:r>
        <w:rPr>
          <w:color w:val="000000"/>
          <w:szCs w:val="22"/>
        </w:rPr>
        <w:t xml:space="preserve"> </w:t>
      </w:r>
      <w:r w:rsidRPr="00E26603">
        <w:rPr>
          <w:color w:val="000000"/>
          <w:szCs w:val="22"/>
        </w:rPr>
        <w:t>§ 117.004(c)(5).</w:t>
      </w:r>
    </w:p>
  </w:footnote>
  <w:footnote w:id="99">
    <w:p w14:paraId="28E72AD1" w14:textId="4B0B012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r w:rsidRPr="00E26603">
        <w:rPr>
          <w:color w:val="000000"/>
          <w:szCs w:val="22"/>
        </w:rPr>
        <w:t>.</w:t>
      </w:r>
      <w:r>
        <w:rPr>
          <w:color w:val="000000"/>
          <w:szCs w:val="22"/>
        </w:rPr>
        <w:t xml:space="preserve"> </w:t>
      </w:r>
      <w:r w:rsidRPr="00E26603">
        <w:rPr>
          <w:color w:val="000000"/>
          <w:szCs w:val="22"/>
        </w:rPr>
        <w:t>§ 117.008.</w:t>
      </w:r>
    </w:p>
  </w:footnote>
  <w:footnote w:id="100">
    <w:p w14:paraId="476267D8" w14:textId="591E8AF8"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I</w:t>
      </w:r>
      <w:r w:rsidRPr="0063712A">
        <w:rPr>
          <w:i/>
          <w:iCs/>
          <w:color w:val="000000"/>
          <w:szCs w:val="22"/>
        </w:rPr>
        <w:t>d</w:t>
      </w:r>
      <w:r w:rsidRPr="0063712A">
        <w:rPr>
          <w:i/>
          <w:color w:val="000000"/>
          <w:szCs w:val="22"/>
        </w:rPr>
        <w:t>.</w:t>
      </w:r>
    </w:p>
  </w:footnote>
  <w:footnote w:id="101">
    <w:p w14:paraId="2536B418" w14:textId="5DB6DD94"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63712A">
        <w:rPr>
          <w:i/>
          <w:iCs/>
          <w:color w:val="000000"/>
          <w:szCs w:val="22"/>
        </w:rPr>
        <w:t>See id</w:t>
      </w:r>
      <w:r w:rsidRPr="0063712A">
        <w:rPr>
          <w:i/>
          <w:color w:val="000000"/>
          <w:szCs w:val="22"/>
        </w:rPr>
        <w:t>.</w:t>
      </w:r>
    </w:p>
  </w:footnote>
  <w:footnote w:id="102">
    <w:p w14:paraId="3EA7C267" w14:textId="357CD06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r w:rsidRPr="00E26603">
        <w:rPr>
          <w:color w:val="000000"/>
          <w:szCs w:val="22"/>
        </w:rPr>
        <w:t>. § 116.00</w:t>
      </w:r>
      <w:r>
        <w:rPr>
          <w:color w:val="000000"/>
          <w:szCs w:val="22"/>
        </w:rPr>
        <w:t>1</w:t>
      </w:r>
      <w:r w:rsidRPr="00E26603">
        <w:rPr>
          <w:color w:val="000000"/>
          <w:szCs w:val="22"/>
        </w:rPr>
        <w:t>.</w:t>
      </w:r>
    </w:p>
  </w:footnote>
  <w:footnote w:id="103">
    <w:p w14:paraId="44D9C069" w14:textId="4499450F"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r w:rsidRPr="00E26603">
        <w:rPr>
          <w:color w:val="000000"/>
          <w:szCs w:val="22"/>
        </w:rPr>
        <w:t>.</w:t>
      </w:r>
      <w:r>
        <w:rPr>
          <w:color w:val="000000"/>
          <w:szCs w:val="22"/>
        </w:rPr>
        <w:t xml:space="preserve"> </w:t>
      </w:r>
      <w:r w:rsidRPr="00E26603">
        <w:rPr>
          <w:color w:val="000000"/>
          <w:szCs w:val="22"/>
        </w:rPr>
        <w:t>§ 116.004(a).</w:t>
      </w:r>
    </w:p>
  </w:footnote>
  <w:footnote w:id="104">
    <w:p w14:paraId="70B7518F" w14:textId="1E57AD53"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r w:rsidRPr="00E26603">
        <w:rPr>
          <w:color w:val="000000"/>
          <w:szCs w:val="22"/>
        </w:rPr>
        <w:t>.</w:t>
      </w:r>
    </w:p>
  </w:footnote>
  <w:footnote w:id="105">
    <w:p w14:paraId="43C0DDD9" w14:textId="3FE7496F"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r w:rsidRPr="00E26603">
        <w:rPr>
          <w:color w:val="000000"/>
          <w:szCs w:val="22"/>
        </w:rPr>
        <w:t>.</w:t>
      </w:r>
      <w:r>
        <w:rPr>
          <w:color w:val="000000"/>
          <w:szCs w:val="22"/>
        </w:rPr>
        <w:t xml:space="preserve"> </w:t>
      </w:r>
      <w:r w:rsidRPr="00E26603">
        <w:rPr>
          <w:color w:val="000000"/>
          <w:szCs w:val="22"/>
        </w:rPr>
        <w:t>§ 116.004(a)(4).</w:t>
      </w:r>
    </w:p>
  </w:footnote>
  <w:footnote w:id="106">
    <w:p w14:paraId="590BB442" w14:textId="1E913428"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r w:rsidRPr="00E26603">
        <w:rPr>
          <w:color w:val="000000"/>
          <w:szCs w:val="22"/>
        </w:rPr>
        <w:t>.</w:t>
      </w:r>
      <w:r>
        <w:rPr>
          <w:color w:val="000000"/>
          <w:szCs w:val="22"/>
        </w:rPr>
        <w:t xml:space="preserve"> </w:t>
      </w:r>
      <w:r w:rsidRPr="00E26603">
        <w:rPr>
          <w:color w:val="000000"/>
          <w:szCs w:val="22"/>
        </w:rPr>
        <w:t>§ 116.004(b).</w:t>
      </w:r>
    </w:p>
  </w:footnote>
  <w:footnote w:id="107">
    <w:p w14:paraId="310F2D6E" w14:textId="59B349A8"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color w:val="000000"/>
          <w:szCs w:val="22"/>
        </w:rPr>
        <w:t xml:space="preserve"> </w:t>
      </w:r>
      <w:r w:rsidRPr="00BD35B4">
        <w:rPr>
          <w:i/>
          <w:iCs/>
          <w:color w:val="000000"/>
          <w:szCs w:val="22"/>
        </w:rPr>
        <w:t>See id</w:t>
      </w:r>
      <w:r w:rsidRPr="00BD35B4">
        <w:rPr>
          <w:i/>
          <w:color w:val="000000"/>
          <w:szCs w:val="22"/>
        </w:rPr>
        <w:t>.</w:t>
      </w:r>
      <w:r w:rsidRPr="00E26603">
        <w:rPr>
          <w:color w:val="000000"/>
          <w:szCs w:val="22"/>
        </w:rPr>
        <w:t xml:space="preserve">; </w:t>
      </w:r>
      <w:r w:rsidRPr="00E26603">
        <w:rPr>
          <w:iCs/>
          <w:color w:val="000000"/>
          <w:szCs w:val="22"/>
        </w:rPr>
        <w:t>Thorman v. Carr</w:t>
      </w:r>
      <w:r w:rsidRPr="00E26603">
        <w:rPr>
          <w:color w:val="000000"/>
          <w:szCs w:val="22"/>
        </w:rPr>
        <w:t>, 408 S.W.2d 259</w:t>
      </w:r>
      <w:r>
        <w:rPr>
          <w:color w:val="000000"/>
          <w:szCs w:val="22"/>
        </w:rPr>
        <w:t>, 261–62</w:t>
      </w:r>
      <w:r w:rsidRPr="00E26603">
        <w:rPr>
          <w:color w:val="000000"/>
          <w:szCs w:val="22"/>
        </w:rPr>
        <w:t xml:space="preserve"> (Tex. Civ. App.—San Antonio 1966), </w:t>
      </w:r>
      <w:r w:rsidRPr="00E26603">
        <w:rPr>
          <w:i/>
          <w:color w:val="000000"/>
          <w:szCs w:val="22"/>
        </w:rPr>
        <w:t>aff’d per curiam</w:t>
      </w:r>
      <w:r w:rsidRPr="00E26603">
        <w:rPr>
          <w:color w:val="000000"/>
          <w:szCs w:val="22"/>
        </w:rPr>
        <w:t>, 412 S.W.2d 45 (1967).</w:t>
      </w:r>
    </w:p>
  </w:footnote>
  <w:footnote w:id="108">
    <w:p w14:paraId="2E4EAC8E" w14:textId="38C60416"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id</w:t>
      </w:r>
      <w:r w:rsidRPr="00E26603">
        <w:rPr>
          <w:smallCaps/>
          <w:color w:val="000000"/>
          <w:szCs w:val="22"/>
        </w:rPr>
        <w:t>.</w:t>
      </w:r>
      <w:r w:rsidRPr="00E26603">
        <w:rPr>
          <w:color w:val="000000"/>
          <w:szCs w:val="22"/>
        </w:rPr>
        <w:t xml:space="preserve"> § 116.004(b).</w:t>
      </w:r>
    </w:p>
  </w:footnote>
  <w:footnote w:id="109">
    <w:p w14:paraId="485BBC1C" w14:textId="4D476F44"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r w:rsidRPr="00E26603">
        <w:rPr>
          <w:color w:val="000000"/>
          <w:szCs w:val="22"/>
        </w:rPr>
        <w:t>.</w:t>
      </w:r>
      <w:r>
        <w:rPr>
          <w:color w:val="000000"/>
          <w:szCs w:val="22"/>
        </w:rPr>
        <w:t xml:space="preserve"> </w:t>
      </w:r>
    </w:p>
  </w:footnote>
  <w:footnote w:id="110">
    <w:p w14:paraId="024C6786" w14:textId="1B1C171E"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r w:rsidRPr="00E26603">
        <w:rPr>
          <w:color w:val="000000"/>
          <w:szCs w:val="22"/>
        </w:rPr>
        <w:t>.</w:t>
      </w:r>
      <w:r>
        <w:rPr>
          <w:color w:val="000000"/>
          <w:szCs w:val="22"/>
        </w:rPr>
        <w:t xml:space="preserve"> </w:t>
      </w:r>
      <w:r w:rsidRPr="00E26603">
        <w:rPr>
          <w:color w:val="000000"/>
          <w:szCs w:val="22"/>
        </w:rPr>
        <w:t>§ 116.005(a).</w:t>
      </w:r>
    </w:p>
  </w:footnote>
  <w:footnote w:id="111">
    <w:p w14:paraId="482C41FE" w14:textId="379E02B4"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BD35B4">
        <w:rPr>
          <w:i/>
          <w:iCs/>
          <w:color w:val="000000"/>
          <w:szCs w:val="22"/>
        </w:rPr>
        <w:t>Id</w:t>
      </w:r>
      <w:r w:rsidRPr="00BD35B4">
        <w:rPr>
          <w:i/>
          <w:color w:val="000000"/>
          <w:szCs w:val="22"/>
        </w:rPr>
        <w:t>.</w:t>
      </w:r>
    </w:p>
  </w:footnote>
  <w:footnote w:id="112">
    <w:p w14:paraId="64EC7D99" w14:textId="378D6282"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id</w:t>
      </w:r>
      <w:r w:rsidRPr="00E26603">
        <w:rPr>
          <w:color w:val="000000"/>
          <w:szCs w:val="22"/>
        </w:rPr>
        <w:t>.</w:t>
      </w:r>
      <w:r>
        <w:rPr>
          <w:color w:val="000000"/>
          <w:szCs w:val="22"/>
        </w:rPr>
        <w:t xml:space="preserve"> </w:t>
      </w:r>
      <w:bookmarkStart w:id="59" w:name="_Hlk31057791"/>
      <w:r w:rsidRPr="00E26603">
        <w:rPr>
          <w:color w:val="000000"/>
          <w:szCs w:val="22"/>
        </w:rPr>
        <w:t xml:space="preserve"> </w:t>
      </w:r>
      <w:bookmarkEnd w:id="59"/>
      <w:r w:rsidRPr="00E26603">
        <w:rPr>
          <w:color w:val="000000"/>
          <w:szCs w:val="22"/>
        </w:rPr>
        <w:t>§ 116.005(</w:t>
      </w:r>
      <w:r>
        <w:rPr>
          <w:color w:val="000000"/>
          <w:szCs w:val="22"/>
        </w:rPr>
        <w:t>b)</w:t>
      </w:r>
    </w:p>
  </w:footnote>
  <w:footnote w:id="113">
    <w:p w14:paraId="5F9B3CA2" w14:textId="5C3619F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t>72 Tex. Jur. 3d Trusts § 56 (2020).</w:t>
      </w:r>
    </w:p>
  </w:footnote>
  <w:footnote w:id="114">
    <w:p w14:paraId="6171FBD3" w14:textId="22B8A792"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r w:rsidRPr="00E26603">
        <w:rPr>
          <w:color w:val="000000"/>
          <w:szCs w:val="22"/>
        </w:rPr>
        <w:t>.</w:t>
      </w:r>
      <w:r>
        <w:rPr>
          <w:color w:val="000000"/>
          <w:szCs w:val="22"/>
        </w:rPr>
        <w:t xml:space="preserve"> </w:t>
      </w:r>
    </w:p>
  </w:footnote>
  <w:footnote w:id="115">
    <w:p w14:paraId="6CD6B9D9" w14:textId="5941B0F1"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r w:rsidRPr="00E26603">
        <w:rPr>
          <w:color w:val="000000"/>
          <w:szCs w:val="22"/>
        </w:rPr>
        <w:t>.</w:t>
      </w:r>
      <w:r>
        <w:rPr>
          <w:color w:val="000000"/>
          <w:szCs w:val="22"/>
        </w:rPr>
        <w:t xml:space="preserve"> </w:t>
      </w:r>
    </w:p>
  </w:footnote>
  <w:footnote w:id="116">
    <w:p w14:paraId="04A49EC4" w14:textId="3F6829CC"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p>
  </w:footnote>
  <w:footnote w:id="117">
    <w:p w14:paraId="3A6B6C17" w14:textId="482DE84A"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r>
        <w:rPr>
          <w:i/>
          <w:iCs/>
          <w:color w:val="000000"/>
          <w:szCs w:val="22"/>
        </w:rPr>
        <w:t xml:space="preserve">; </w:t>
      </w:r>
      <w:r w:rsidRPr="00BD35B4">
        <w:rPr>
          <w:smallCaps/>
          <w:color w:val="000000"/>
          <w:szCs w:val="22"/>
        </w:rPr>
        <w:t>T</w:t>
      </w:r>
      <w:r>
        <w:rPr>
          <w:smallCaps/>
          <w:color w:val="000000"/>
          <w:szCs w:val="22"/>
        </w:rPr>
        <w:t>ex</w:t>
      </w:r>
      <w:r w:rsidRPr="00BD35B4">
        <w:rPr>
          <w:smallCaps/>
          <w:color w:val="000000"/>
          <w:szCs w:val="22"/>
        </w:rPr>
        <w:t>. P</w:t>
      </w:r>
      <w:r>
        <w:rPr>
          <w:smallCaps/>
          <w:color w:val="000000"/>
          <w:szCs w:val="22"/>
        </w:rPr>
        <w:t>rop</w:t>
      </w:r>
      <w:r w:rsidRPr="00BD35B4">
        <w:rPr>
          <w:smallCaps/>
          <w:color w:val="000000"/>
          <w:szCs w:val="22"/>
        </w:rPr>
        <w:t>. C</w:t>
      </w:r>
      <w:r>
        <w:rPr>
          <w:smallCaps/>
          <w:color w:val="000000"/>
          <w:szCs w:val="22"/>
        </w:rPr>
        <w:t>ode</w:t>
      </w:r>
      <w:r w:rsidRPr="00BD35B4">
        <w:rPr>
          <w:smallCaps/>
          <w:color w:val="000000"/>
          <w:szCs w:val="22"/>
        </w:rPr>
        <w:t xml:space="preserve"> A</w:t>
      </w:r>
      <w:r>
        <w:rPr>
          <w:smallCaps/>
          <w:color w:val="000000"/>
          <w:szCs w:val="22"/>
        </w:rPr>
        <w:t>nn</w:t>
      </w:r>
      <w:r w:rsidRPr="00BD35B4">
        <w:rPr>
          <w:smallCaps/>
          <w:color w:val="000000"/>
          <w:szCs w:val="22"/>
        </w:rPr>
        <w:t>.</w:t>
      </w:r>
      <w:r w:rsidRPr="00E26603">
        <w:rPr>
          <w:color w:val="000000"/>
          <w:szCs w:val="22"/>
        </w:rPr>
        <w:t xml:space="preserve"> § 114.064</w:t>
      </w:r>
      <w:r>
        <w:rPr>
          <w:color w:val="000000"/>
          <w:szCs w:val="22"/>
        </w:rPr>
        <w:t>,</w:t>
      </w:r>
    </w:p>
  </w:footnote>
  <w:footnote w:id="118">
    <w:p w14:paraId="461E929C" w14:textId="40474FC3" w:rsidR="0070346C" w:rsidRPr="00936164"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sidRPr="00E26603">
        <w:rPr>
          <w:color w:val="000000"/>
          <w:szCs w:val="22"/>
        </w:rPr>
        <w:t xml:space="preserve"> </w:t>
      </w:r>
      <w:r>
        <w:rPr>
          <w:color w:val="000000"/>
          <w:szCs w:val="22"/>
        </w:rPr>
        <w:t xml:space="preserve">Pacheco, </w:t>
      </w:r>
      <w:r>
        <w:rPr>
          <w:i/>
          <w:iCs/>
          <w:color w:val="000000"/>
          <w:szCs w:val="22"/>
        </w:rPr>
        <w:t>supra</w:t>
      </w:r>
      <w:r>
        <w:rPr>
          <w:color w:val="000000"/>
          <w:szCs w:val="22"/>
        </w:rPr>
        <w:t xml:space="preserve"> note </w:t>
      </w:r>
      <w:r>
        <w:rPr>
          <w:color w:val="000000"/>
          <w:szCs w:val="22"/>
        </w:rPr>
        <w:fldChar w:fldCharType="begin"/>
      </w:r>
      <w:r>
        <w:rPr>
          <w:color w:val="000000"/>
          <w:szCs w:val="22"/>
        </w:rPr>
        <w:instrText xml:space="preserve"> NOTEREF _Ref33805468 \h  \* MERGEFORMAT </w:instrText>
      </w:r>
      <w:r>
        <w:rPr>
          <w:color w:val="000000"/>
          <w:szCs w:val="22"/>
        </w:rPr>
      </w:r>
      <w:r>
        <w:rPr>
          <w:color w:val="000000"/>
          <w:szCs w:val="22"/>
        </w:rPr>
        <w:fldChar w:fldCharType="separate"/>
      </w:r>
      <w:r>
        <w:rPr>
          <w:color w:val="000000"/>
          <w:szCs w:val="22"/>
        </w:rPr>
        <w:t>96</w:t>
      </w:r>
      <w:r>
        <w:rPr>
          <w:color w:val="000000"/>
          <w:szCs w:val="22"/>
        </w:rPr>
        <w:fldChar w:fldCharType="end"/>
      </w:r>
      <w:r>
        <w:rPr>
          <w:color w:val="000000"/>
          <w:szCs w:val="22"/>
        </w:rPr>
        <w:t>.</w:t>
      </w:r>
    </w:p>
  </w:footnote>
  <w:footnote w:id="119">
    <w:p w14:paraId="1DEB45DD" w14:textId="6789E8CB" w:rsidR="0070346C" w:rsidRPr="00E26603" w:rsidRDefault="0070346C" w:rsidP="00561F7C">
      <w:pPr>
        <w:pStyle w:val="FootnoteText"/>
        <w:tabs>
          <w:tab w:val="clear" w:pos="600"/>
          <w:tab w:val="left" w:pos="605"/>
        </w:tabs>
        <w:spacing w:line="480" w:lineRule="auto"/>
        <w:rPr>
          <w:i/>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p>
  </w:footnote>
  <w:footnote w:id="120">
    <w:p w14:paraId="65E3E4EF" w14:textId="2236D56C"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p>
  </w:footnote>
  <w:footnote w:id="121">
    <w:p w14:paraId="72D280C2" w14:textId="30E6EFB0" w:rsidR="0070346C" w:rsidRPr="00E26603" w:rsidRDefault="0070346C" w:rsidP="00561F7C">
      <w:pPr>
        <w:pStyle w:val="FootnoteText"/>
        <w:tabs>
          <w:tab w:val="clear" w:pos="600"/>
          <w:tab w:val="left" w:pos="605"/>
        </w:tabs>
        <w:spacing w:line="480" w:lineRule="auto"/>
        <w:rPr>
          <w:color w:val="000000"/>
          <w:szCs w:val="22"/>
        </w:rPr>
      </w:pPr>
      <w:r>
        <w:rPr>
          <w:i/>
          <w:iCs/>
          <w:color w:val="000000"/>
          <w:szCs w:val="22"/>
        </w:rPr>
        <w:tab/>
      </w:r>
      <w:r w:rsidRPr="00E26603">
        <w:rPr>
          <w:rStyle w:val="FootnoteReference"/>
          <w:color w:val="000000"/>
          <w:sz w:val="16"/>
          <w:szCs w:val="22"/>
          <w:vertAlign w:val="baseline"/>
        </w:rPr>
        <w:footnoteRef/>
      </w:r>
      <w:r>
        <w:rPr>
          <w:i/>
          <w:iCs/>
          <w:color w:val="000000"/>
          <w:szCs w:val="22"/>
        </w:rPr>
        <w:t>.</w:t>
      </w:r>
      <w:r>
        <w:rPr>
          <w:i/>
          <w:iCs/>
          <w:color w:val="000000"/>
          <w:szCs w:val="22"/>
        </w:rPr>
        <w:tab/>
        <w:t>Id.</w:t>
      </w:r>
      <w:r>
        <w:rPr>
          <w:color w:val="000000"/>
          <w:szCs w:val="22"/>
        </w:rPr>
        <w:t>;</w:t>
      </w:r>
      <w:r>
        <w:rPr>
          <w:i/>
          <w:iCs/>
          <w:color w:val="000000"/>
          <w:szCs w:val="22"/>
        </w:rPr>
        <w:t xml:space="preserve"> </w:t>
      </w:r>
      <w:r w:rsidRPr="00E26603">
        <w:rPr>
          <w:i/>
          <w:iCs/>
          <w:color w:val="000000"/>
          <w:szCs w:val="22"/>
        </w:rPr>
        <w:t>See</w:t>
      </w:r>
      <w:r w:rsidRPr="00E26603">
        <w:rPr>
          <w:color w:val="000000"/>
          <w:szCs w:val="22"/>
        </w:rPr>
        <w:t xml:space="preserve"> I. R. C. § 2041(b)(1)(A).</w:t>
      </w:r>
    </w:p>
  </w:footnote>
  <w:footnote w:id="122">
    <w:p w14:paraId="10A28DD0" w14:textId="028EA2A3"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sidRPr="00E26603">
        <w:rPr>
          <w:color w:val="000000"/>
          <w:szCs w:val="22"/>
        </w:rPr>
        <w:t xml:space="preserve"> </w:t>
      </w:r>
      <w:r>
        <w:rPr>
          <w:color w:val="000000"/>
          <w:szCs w:val="22"/>
        </w:rPr>
        <w:t xml:space="preserve">Pacheco, </w:t>
      </w:r>
      <w:r>
        <w:rPr>
          <w:i/>
          <w:iCs/>
          <w:color w:val="000000"/>
          <w:szCs w:val="22"/>
        </w:rPr>
        <w:t>supra</w:t>
      </w:r>
      <w:r>
        <w:rPr>
          <w:color w:val="000000"/>
          <w:szCs w:val="22"/>
        </w:rPr>
        <w:t xml:space="preserve"> note </w:t>
      </w:r>
      <w:r>
        <w:rPr>
          <w:color w:val="000000"/>
          <w:szCs w:val="22"/>
        </w:rPr>
        <w:fldChar w:fldCharType="begin"/>
      </w:r>
      <w:r>
        <w:rPr>
          <w:color w:val="000000"/>
          <w:szCs w:val="22"/>
        </w:rPr>
        <w:instrText xml:space="preserve"> NOTEREF _Ref33805468 \h  \* MERGEFORMAT </w:instrText>
      </w:r>
      <w:r>
        <w:rPr>
          <w:color w:val="000000"/>
          <w:szCs w:val="22"/>
        </w:rPr>
      </w:r>
      <w:r>
        <w:rPr>
          <w:color w:val="000000"/>
          <w:szCs w:val="22"/>
        </w:rPr>
        <w:fldChar w:fldCharType="separate"/>
      </w:r>
      <w:r>
        <w:rPr>
          <w:color w:val="000000"/>
          <w:szCs w:val="22"/>
        </w:rPr>
        <w:t>96</w:t>
      </w:r>
      <w:r>
        <w:rPr>
          <w:color w:val="000000"/>
          <w:szCs w:val="22"/>
        </w:rPr>
        <w:fldChar w:fldCharType="end"/>
      </w:r>
      <w:r>
        <w:rPr>
          <w:color w:val="000000"/>
          <w:szCs w:val="22"/>
        </w:rPr>
        <w:t>.</w:t>
      </w:r>
    </w:p>
  </w:footnote>
  <w:footnote w:id="123">
    <w:p w14:paraId="47271770" w14:textId="2D7A6DEB"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color w:val="000000"/>
          <w:szCs w:val="22"/>
        </w:rPr>
        <w:t>Author’s original opinion</w:t>
      </w:r>
      <w:r>
        <w:rPr>
          <w:color w:val="000000"/>
          <w:szCs w:val="22"/>
        </w:rPr>
        <w:t>.</w:t>
      </w:r>
    </w:p>
  </w:footnote>
  <w:footnote w:id="124">
    <w:p w14:paraId="41BB0A57" w14:textId="2E5626CB"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sidRPr="00BD35B4">
        <w:rPr>
          <w:i/>
          <w:iCs/>
          <w:color w:val="000000"/>
          <w:szCs w:val="22"/>
        </w:rPr>
        <w:t>Id</w:t>
      </w:r>
      <w:r w:rsidRPr="00BD35B4">
        <w:rPr>
          <w:i/>
          <w:color w:val="000000"/>
          <w:szCs w:val="22"/>
        </w:rPr>
        <w:t>.</w:t>
      </w:r>
    </w:p>
  </w:footnote>
  <w:footnote w:id="125">
    <w:p w14:paraId="3F887F9A" w14:textId="3537CAFB" w:rsidR="0070346C" w:rsidRPr="0014127B" w:rsidRDefault="0070346C" w:rsidP="00561F7C">
      <w:pPr>
        <w:pStyle w:val="FootnoteText"/>
        <w:tabs>
          <w:tab w:val="clear" w:pos="600"/>
          <w:tab w:val="left" w:pos="605"/>
        </w:tabs>
        <w:spacing w:line="480" w:lineRule="auto"/>
        <w:rPr>
          <w:color w:val="000000"/>
          <w:szCs w:val="22"/>
          <w:lang w:val="fr-FR"/>
        </w:rPr>
      </w:pPr>
      <w:r>
        <w:rPr>
          <w:color w:val="000000"/>
          <w:szCs w:val="22"/>
        </w:rPr>
        <w:tab/>
      </w:r>
      <w:r w:rsidRPr="00E26603">
        <w:rPr>
          <w:rStyle w:val="FootnoteReference"/>
          <w:color w:val="000000"/>
          <w:sz w:val="16"/>
          <w:szCs w:val="22"/>
          <w:vertAlign w:val="baseline"/>
        </w:rPr>
        <w:footnoteRef/>
      </w:r>
      <w:r w:rsidRPr="0014127B">
        <w:rPr>
          <w:color w:val="000000"/>
          <w:szCs w:val="22"/>
          <w:lang w:val="fr-FR"/>
        </w:rPr>
        <w:t>.</w:t>
      </w:r>
      <w:r w:rsidRPr="0014127B">
        <w:rPr>
          <w:color w:val="000000"/>
          <w:szCs w:val="22"/>
          <w:lang w:val="fr-FR"/>
        </w:rPr>
        <w:tab/>
      </w:r>
      <w:r w:rsidRPr="0014127B">
        <w:rPr>
          <w:i/>
          <w:iCs/>
          <w:color w:val="000000"/>
          <w:szCs w:val="22"/>
          <w:lang w:val="fr-FR"/>
        </w:rPr>
        <w:t>Id</w:t>
      </w:r>
      <w:r w:rsidRPr="0014127B">
        <w:rPr>
          <w:i/>
          <w:color w:val="000000"/>
          <w:szCs w:val="22"/>
          <w:lang w:val="fr-FR"/>
        </w:rPr>
        <w:t>.</w:t>
      </w:r>
    </w:p>
  </w:footnote>
  <w:footnote w:id="126">
    <w:p w14:paraId="7294022C" w14:textId="3501F67F" w:rsidR="0070346C" w:rsidRPr="00E26603" w:rsidRDefault="0070346C" w:rsidP="00561F7C">
      <w:pPr>
        <w:pStyle w:val="FootnoteText"/>
        <w:tabs>
          <w:tab w:val="clear" w:pos="600"/>
          <w:tab w:val="left" w:pos="605"/>
        </w:tabs>
        <w:spacing w:line="480" w:lineRule="auto"/>
        <w:rPr>
          <w:color w:val="000000"/>
          <w:szCs w:val="22"/>
        </w:rPr>
      </w:pPr>
      <w:r w:rsidRPr="0014127B">
        <w:rPr>
          <w:color w:val="000000"/>
          <w:szCs w:val="22"/>
          <w:lang w:val="fr-FR"/>
        </w:rPr>
        <w:tab/>
      </w:r>
      <w:r w:rsidRPr="00E26603">
        <w:rPr>
          <w:rStyle w:val="FootnoteReference"/>
          <w:color w:val="000000"/>
          <w:sz w:val="16"/>
          <w:szCs w:val="22"/>
          <w:vertAlign w:val="baseline"/>
        </w:rPr>
        <w:footnoteRef/>
      </w:r>
      <w:r w:rsidRPr="0014127B">
        <w:rPr>
          <w:color w:val="000000"/>
          <w:szCs w:val="22"/>
          <w:lang w:val="fr-FR"/>
        </w:rPr>
        <w:t>.</w:t>
      </w:r>
      <w:r w:rsidRPr="0014127B">
        <w:rPr>
          <w:color w:val="000000"/>
          <w:szCs w:val="22"/>
          <w:lang w:val="fr-FR"/>
        </w:rPr>
        <w:tab/>
      </w:r>
      <w:r w:rsidRPr="0014127B">
        <w:rPr>
          <w:smallCaps/>
          <w:color w:val="000000"/>
          <w:szCs w:val="22"/>
          <w:lang w:val="fr-FR"/>
        </w:rPr>
        <w:t>Tex. Prop. Code Ann.</w:t>
      </w:r>
      <w:r w:rsidRPr="0014127B">
        <w:rPr>
          <w:color w:val="000000"/>
          <w:szCs w:val="22"/>
          <w:lang w:val="fr-FR"/>
        </w:rPr>
        <w:t xml:space="preserve"> </w:t>
      </w:r>
      <w:r w:rsidRPr="00E26603">
        <w:rPr>
          <w:color w:val="000000"/>
          <w:szCs w:val="22"/>
        </w:rPr>
        <w:t>§ 142.005(b)(2).</w:t>
      </w:r>
    </w:p>
  </w:footnote>
  <w:footnote w:id="127">
    <w:p w14:paraId="332439E9" w14:textId="134034DE"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color w:val="000000"/>
          <w:szCs w:val="22"/>
        </w:rPr>
        <w:t>See</w:t>
      </w:r>
      <w:r w:rsidRPr="00E26603">
        <w:rPr>
          <w:color w:val="000000"/>
          <w:szCs w:val="22"/>
        </w:rPr>
        <w:t xml:space="preserve"> Tex. H.B. 564, 80th Leg., R.S. (2007).</w:t>
      </w:r>
    </w:p>
  </w:footnote>
  <w:footnote w:id="128">
    <w:p w14:paraId="5638D429" w14:textId="38A15824" w:rsidR="0070346C" w:rsidRPr="0014127B" w:rsidRDefault="0070346C" w:rsidP="00561F7C">
      <w:pPr>
        <w:pStyle w:val="FootnoteText"/>
        <w:spacing w:line="480" w:lineRule="auto"/>
        <w:rPr>
          <w:i/>
          <w:iCs/>
          <w:szCs w:val="16"/>
        </w:rPr>
      </w:pPr>
      <w:r>
        <w:rPr>
          <w:szCs w:val="16"/>
        </w:rPr>
        <w:tab/>
      </w:r>
      <w:r w:rsidRPr="0014127B">
        <w:rPr>
          <w:rStyle w:val="FootnoteReference"/>
          <w:sz w:val="16"/>
          <w:szCs w:val="16"/>
          <w:vertAlign w:val="baseline"/>
        </w:rPr>
        <w:footnoteRef/>
      </w:r>
      <w:r>
        <w:rPr>
          <w:szCs w:val="16"/>
        </w:rPr>
        <w:t xml:space="preserve">. </w:t>
      </w:r>
      <w:r>
        <w:rPr>
          <w:i/>
          <w:iCs/>
          <w:szCs w:val="16"/>
        </w:rPr>
        <w:tab/>
        <w:t xml:space="preserve">Id. </w:t>
      </w:r>
    </w:p>
  </w:footnote>
  <w:footnote w:id="129">
    <w:p w14:paraId="0FCE7717" w14:textId="21B55600"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sidRPr="00BD35B4">
        <w:rPr>
          <w:iCs/>
          <w:color w:val="000000"/>
          <w:szCs w:val="22"/>
        </w:rPr>
        <w:t xml:space="preserve"> </w:t>
      </w:r>
      <w:r w:rsidRPr="00E26603">
        <w:rPr>
          <w:color w:val="000000"/>
          <w:szCs w:val="22"/>
        </w:rPr>
        <w:t>Mokdad, Ali, et al</w:t>
      </w:r>
      <w:r w:rsidRPr="00E26603">
        <w:rPr>
          <w:i/>
          <w:iCs/>
          <w:color w:val="000000"/>
          <w:szCs w:val="22"/>
        </w:rPr>
        <w:t>., The State of U.S. Health, 1990–2016: Burden of Diseases, Injuries, and Risk Factors Among U.S. States</w:t>
      </w:r>
      <w:r w:rsidRPr="00E26603">
        <w:rPr>
          <w:color w:val="000000"/>
          <w:szCs w:val="22"/>
        </w:rPr>
        <w:t>; NCBI (Apr</w:t>
      </w:r>
      <w:r>
        <w:rPr>
          <w:color w:val="000000"/>
          <w:szCs w:val="22"/>
        </w:rPr>
        <w:t>.</w:t>
      </w:r>
      <w:r w:rsidRPr="00E26603">
        <w:rPr>
          <w:color w:val="000000"/>
          <w:szCs w:val="22"/>
        </w:rPr>
        <w:t xml:space="preserve"> 10, 2018), https://www.ncbi.nlm.nih.gov/pmc/articles/</w:t>
      </w:r>
      <w:r>
        <w:rPr>
          <w:color w:val="000000"/>
          <w:szCs w:val="22"/>
        </w:rPr>
        <w:t xml:space="preserve"> </w:t>
      </w:r>
      <w:r w:rsidRPr="00E26603">
        <w:rPr>
          <w:color w:val="000000"/>
          <w:szCs w:val="22"/>
        </w:rPr>
        <w:t>PMC5933332/</w:t>
      </w:r>
      <w:r>
        <w:rPr>
          <w:color w:val="000000"/>
          <w:szCs w:val="22"/>
        </w:rPr>
        <w:t xml:space="preserve"> [perma.cc/2ZV9-FUUW]</w:t>
      </w:r>
      <w:r w:rsidRPr="00E26603">
        <w:rPr>
          <w:color w:val="000000"/>
          <w:szCs w:val="22"/>
        </w:rPr>
        <w:t>.</w:t>
      </w:r>
    </w:p>
  </w:footnote>
  <w:footnote w:id="130">
    <w:p w14:paraId="7EBB5FDB" w14:textId="532AFF5C"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BD35B4">
        <w:rPr>
          <w:i/>
          <w:iCs/>
          <w:color w:val="000000"/>
          <w:szCs w:val="22"/>
        </w:rPr>
        <w:t>See</w:t>
      </w:r>
      <w:r w:rsidRPr="00BD35B4">
        <w:rPr>
          <w:i/>
          <w:color w:val="000000"/>
          <w:szCs w:val="22"/>
        </w:rPr>
        <w:t xml:space="preserve"> id.</w:t>
      </w:r>
    </w:p>
  </w:footnote>
  <w:footnote w:id="131">
    <w:p w14:paraId="75593EBB" w14:textId="44B10FF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t>Question posed by the author for purpsoes of this article.</w:t>
      </w:r>
    </w:p>
  </w:footnote>
  <w:footnote w:id="132">
    <w:p w14:paraId="7BC8749B" w14:textId="57BE925B"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Id.</w:t>
      </w:r>
    </w:p>
  </w:footnote>
  <w:footnote w:id="133">
    <w:p w14:paraId="335EF44E" w14:textId="64BFE1C5" w:rsidR="0070346C" w:rsidRPr="00E26603" w:rsidRDefault="0070346C" w:rsidP="003704E3">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color w:val="000000"/>
          <w:szCs w:val="22"/>
        </w:rPr>
        <w:t>See</w:t>
      </w:r>
      <w:r w:rsidRPr="00E26603">
        <w:rPr>
          <w:color w:val="000000"/>
          <w:szCs w:val="22"/>
        </w:rPr>
        <w:t xml:space="preserve"> </w:t>
      </w:r>
      <w:r w:rsidRPr="00E26603">
        <w:rPr>
          <w:smallCaps/>
          <w:color w:val="000000"/>
          <w:szCs w:val="22"/>
        </w:rPr>
        <w:t>Restatement (Third) of Trusts</w:t>
      </w:r>
      <w:r w:rsidRPr="003704E3">
        <w:rPr>
          <w:smallCaps/>
          <w:color w:val="000000"/>
          <w:szCs w:val="22"/>
        </w:rPr>
        <w:t xml:space="preserve"> </w:t>
      </w:r>
      <w:r w:rsidRPr="004369DB">
        <w:rPr>
          <w:smallCaps/>
          <w:color w:val="000000"/>
          <w:szCs w:val="22"/>
        </w:rPr>
        <w:t xml:space="preserve">Enforcement and Construction of Discretionary Interest </w:t>
      </w:r>
      <w:r w:rsidRPr="00E26603">
        <w:rPr>
          <w:color w:val="000000"/>
          <w:szCs w:val="22"/>
        </w:rPr>
        <w:t>§</w:t>
      </w:r>
      <w:r>
        <w:rPr>
          <w:color w:val="000000"/>
          <w:szCs w:val="22"/>
        </w:rPr>
        <w:t xml:space="preserve"> </w:t>
      </w:r>
      <w:r w:rsidRPr="00E26603">
        <w:rPr>
          <w:color w:val="000000"/>
          <w:szCs w:val="22"/>
        </w:rPr>
        <w:t>50 cmt</w:t>
      </w:r>
      <w:r>
        <w:rPr>
          <w:color w:val="000000"/>
          <w:szCs w:val="22"/>
        </w:rPr>
        <w:t>.</w:t>
      </w:r>
      <w:r w:rsidRPr="00E26603">
        <w:rPr>
          <w:color w:val="000000"/>
          <w:szCs w:val="22"/>
        </w:rPr>
        <w:t xml:space="preserve"> E</w:t>
      </w:r>
      <w:r>
        <w:rPr>
          <w:color w:val="000000"/>
          <w:szCs w:val="22"/>
        </w:rPr>
        <w:t xml:space="preserve"> (</w:t>
      </w:r>
      <w:r w:rsidRPr="0014127B">
        <w:rPr>
          <w:smallCaps/>
          <w:color w:val="000000"/>
          <w:szCs w:val="22"/>
        </w:rPr>
        <w:t>Am. Law. Inst.</w:t>
      </w:r>
      <w:r>
        <w:rPr>
          <w:color w:val="000000"/>
          <w:szCs w:val="22"/>
        </w:rPr>
        <w:t xml:space="preserve"> 2003).</w:t>
      </w:r>
    </w:p>
    <w:p w14:paraId="542E5512" w14:textId="4501912A" w:rsidR="0070346C" w:rsidRPr="00E26603" w:rsidRDefault="0070346C" w:rsidP="00561F7C">
      <w:pPr>
        <w:pStyle w:val="FootnoteText"/>
        <w:tabs>
          <w:tab w:val="clear" w:pos="600"/>
          <w:tab w:val="left" w:pos="605"/>
        </w:tabs>
        <w:spacing w:line="480" w:lineRule="auto"/>
        <w:rPr>
          <w:color w:val="000000"/>
          <w:szCs w:val="22"/>
        </w:rPr>
      </w:pPr>
    </w:p>
  </w:footnote>
  <w:footnote w:id="134">
    <w:p w14:paraId="108269A3" w14:textId="622CE9F1"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color w:val="000000"/>
          <w:szCs w:val="22"/>
        </w:rPr>
        <w:t>Se</w:t>
      </w:r>
      <w:r>
        <w:rPr>
          <w:i/>
          <w:color w:val="000000"/>
          <w:szCs w:val="22"/>
        </w:rPr>
        <w:t>e id.</w:t>
      </w:r>
    </w:p>
  </w:footnote>
  <w:footnote w:id="135">
    <w:p w14:paraId="761B3A60" w14:textId="2A448064"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BD35B4">
        <w:rPr>
          <w:i/>
          <w:color w:val="000000"/>
          <w:szCs w:val="22"/>
        </w:rPr>
        <w:t>See</w:t>
      </w:r>
      <w:r w:rsidRPr="00E26603">
        <w:rPr>
          <w:color w:val="000000"/>
          <w:szCs w:val="22"/>
        </w:rPr>
        <w:t xml:space="preserve"> S. Bank &amp; Tr. Co. v. Brown, 271 S.C. 260</w:t>
      </w:r>
      <w:r>
        <w:rPr>
          <w:color w:val="000000"/>
          <w:szCs w:val="22"/>
        </w:rPr>
        <w:t>, 270–72</w:t>
      </w:r>
      <w:r w:rsidRPr="00E26603">
        <w:rPr>
          <w:color w:val="000000"/>
          <w:szCs w:val="22"/>
        </w:rPr>
        <w:t xml:space="preserve"> (S.C. 1978).</w:t>
      </w:r>
    </w:p>
  </w:footnote>
  <w:footnote w:id="136">
    <w:p w14:paraId="0D9B5C81" w14:textId="567375DB"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color w:val="000000"/>
          <w:szCs w:val="22"/>
        </w:rPr>
        <w:t>Id.</w:t>
      </w:r>
    </w:p>
  </w:footnote>
  <w:footnote w:id="137">
    <w:p w14:paraId="1C387C6F" w14:textId="267D2F06"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color w:val="000000"/>
          <w:szCs w:val="22"/>
        </w:rPr>
        <w:t>Id.</w:t>
      </w:r>
      <w:r w:rsidRPr="00E26603">
        <w:rPr>
          <w:color w:val="000000"/>
          <w:szCs w:val="22"/>
        </w:rPr>
        <w:t xml:space="preserve"> </w:t>
      </w:r>
    </w:p>
  </w:footnote>
  <w:footnote w:id="138">
    <w:p w14:paraId="3E0A7150" w14:textId="4EF3839D" w:rsidR="0070346C" w:rsidRPr="00E26603" w:rsidRDefault="0070346C" w:rsidP="00561F7C">
      <w:pPr>
        <w:pStyle w:val="FootnoteText"/>
        <w:tabs>
          <w:tab w:val="clear" w:pos="600"/>
          <w:tab w:val="left" w:pos="605"/>
        </w:tabs>
        <w:spacing w:line="480" w:lineRule="auto"/>
        <w:rPr>
          <w:color w:val="000000"/>
          <w:szCs w:val="22"/>
        </w:rPr>
      </w:pPr>
      <w:r>
        <w:rPr>
          <w:i/>
          <w:iCs/>
          <w:color w:val="000000"/>
          <w:szCs w:val="22"/>
        </w:rPr>
        <w:tab/>
      </w:r>
      <w:r w:rsidRPr="00E26603">
        <w:rPr>
          <w:rStyle w:val="FootnoteReference"/>
          <w:color w:val="000000"/>
          <w:sz w:val="16"/>
          <w:szCs w:val="22"/>
          <w:vertAlign w:val="baseline"/>
        </w:rPr>
        <w:footnoteRef/>
      </w:r>
      <w:r>
        <w:rPr>
          <w:i/>
          <w:iCs/>
          <w:color w:val="000000"/>
          <w:szCs w:val="22"/>
        </w:rPr>
        <w:t>.</w:t>
      </w:r>
      <w:r>
        <w:rPr>
          <w:i/>
          <w:iCs/>
          <w:color w:val="000000"/>
          <w:szCs w:val="22"/>
        </w:rPr>
        <w:tab/>
      </w:r>
      <w:r w:rsidRPr="00E26603">
        <w:rPr>
          <w:i/>
          <w:iCs/>
          <w:color w:val="000000"/>
          <w:szCs w:val="22"/>
        </w:rPr>
        <w:t>See</w:t>
      </w:r>
      <w:r w:rsidRPr="00E26603">
        <w:rPr>
          <w:color w:val="000000"/>
          <w:szCs w:val="22"/>
        </w:rPr>
        <w:t xml:space="preserve"> Lanston v. Children’s Hosp., 148 F.2d 689</w:t>
      </w:r>
      <w:r>
        <w:rPr>
          <w:color w:val="000000"/>
          <w:szCs w:val="22"/>
        </w:rPr>
        <w:t>, 690–91</w:t>
      </w:r>
      <w:r w:rsidRPr="00E26603">
        <w:rPr>
          <w:color w:val="000000"/>
          <w:szCs w:val="22"/>
        </w:rPr>
        <w:t xml:space="preserve"> </w:t>
      </w:r>
      <w:r>
        <w:rPr>
          <w:color w:val="000000"/>
          <w:szCs w:val="22"/>
        </w:rPr>
        <w:t>(D.C.</w:t>
      </w:r>
      <w:r w:rsidRPr="00E26603">
        <w:rPr>
          <w:color w:val="000000"/>
          <w:szCs w:val="22"/>
        </w:rPr>
        <w:t xml:space="preserve"> Cir. 1945) (finding that it was within a trustee’s discretion to refuse to fund the further education of a beneficiary who was forty-two years old, well-educated, and had a “large income”</w:t>
      </w:r>
      <w:r>
        <w:rPr>
          <w:color w:val="000000"/>
          <w:szCs w:val="22"/>
        </w:rPr>
        <w:t>)</w:t>
      </w:r>
      <w:r w:rsidRPr="00E26603">
        <w:rPr>
          <w:color w:val="000000"/>
          <w:szCs w:val="22"/>
        </w:rPr>
        <w:t>; Epstein v. Kuvin, 95 A.2d 753, 754 (N.J. Super. Ct. App. Div. 1953) (holding that the term “college education” d</w:t>
      </w:r>
      <w:r>
        <w:rPr>
          <w:color w:val="000000"/>
          <w:szCs w:val="22"/>
        </w:rPr>
        <w:t>id not include medical school).</w:t>
      </w:r>
    </w:p>
  </w:footnote>
  <w:footnote w:id="139">
    <w:p w14:paraId="31A9CC60" w14:textId="5E632B7F"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sidRPr="00E26603">
        <w:rPr>
          <w:color w:val="000000"/>
          <w:szCs w:val="22"/>
        </w:rPr>
        <w:t xml:space="preserve"> Alia Wong, </w:t>
      </w:r>
      <w:r w:rsidRPr="00E26603">
        <w:rPr>
          <w:i/>
          <w:iCs/>
          <w:color w:val="000000"/>
          <w:szCs w:val="22"/>
        </w:rPr>
        <w:t>Private Schools Are Becoming More Elite</w:t>
      </w:r>
      <w:r w:rsidRPr="00E26603">
        <w:rPr>
          <w:color w:val="000000"/>
          <w:szCs w:val="22"/>
        </w:rPr>
        <w:t xml:space="preserve">, </w:t>
      </w:r>
      <w:r w:rsidRPr="00E26603">
        <w:rPr>
          <w:smallCaps/>
          <w:color w:val="000000"/>
          <w:szCs w:val="22"/>
        </w:rPr>
        <w:t>The Atlantic</w:t>
      </w:r>
      <w:r w:rsidRPr="00E26603">
        <w:rPr>
          <w:color w:val="000000"/>
          <w:szCs w:val="22"/>
        </w:rPr>
        <w:t xml:space="preserve"> (July 26, 2018), https://www.theatlantic.com/education/archive/2018/07/why-private-schools-are-becoming-more-elite/</w:t>
      </w:r>
      <w:r>
        <w:rPr>
          <w:color w:val="000000"/>
          <w:szCs w:val="22"/>
        </w:rPr>
        <w:t xml:space="preserve"> </w:t>
      </w:r>
      <w:r w:rsidRPr="00E26603">
        <w:rPr>
          <w:color w:val="000000"/>
          <w:szCs w:val="22"/>
        </w:rPr>
        <w:t>566144/</w:t>
      </w:r>
      <w:r>
        <w:rPr>
          <w:color w:val="000000"/>
          <w:szCs w:val="22"/>
        </w:rPr>
        <w:t xml:space="preserve"> [perma.cc/4S2B-GCLR]</w:t>
      </w:r>
      <w:r w:rsidRPr="00E26603">
        <w:rPr>
          <w:color w:val="000000"/>
          <w:szCs w:val="22"/>
        </w:rPr>
        <w:t>.</w:t>
      </w:r>
    </w:p>
  </w:footnote>
  <w:footnote w:id="140">
    <w:p w14:paraId="5A124F32" w14:textId="19BA3DA2"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t>Question posed by the author for the purposes of this article.</w:t>
      </w:r>
    </w:p>
  </w:footnote>
  <w:footnote w:id="141">
    <w:p w14:paraId="0B752695" w14:textId="29B36184" w:rsidR="0070346C" w:rsidRPr="0014127B" w:rsidRDefault="0070346C" w:rsidP="00561F7C">
      <w:pPr>
        <w:pStyle w:val="FootnoteText"/>
        <w:tabs>
          <w:tab w:val="clear" w:pos="600"/>
          <w:tab w:val="left" w:pos="605"/>
        </w:tabs>
        <w:spacing w:line="480" w:lineRule="auto"/>
        <w:rPr>
          <w:i/>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Id. </w:t>
      </w:r>
    </w:p>
  </w:footnote>
  <w:footnote w:id="142">
    <w:p w14:paraId="2855C772" w14:textId="61B0DBCB"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Id. </w:t>
      </w:r>
    </w:p>
  </w:footnote>
  <w:footnote w:id="143">
    <w:p w14:paraId="7DD1256B" w14:textId="58ECE89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Id. </w:t>
      </w:r>
    </w:p>
  </w:footnote>
  <w:footnote w:id="144">
    <w:p w14:paraId="5B95853D" w14:textId="20401423"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sidRPr="00E26603">
        <w:rPr>
          <w:i/>
          <w:color w:val="000000"/>
          <w:szCs w:val="22"/>
        </w:rPr>
        <w:t>2000–01 Undergraduate Tuition and Fees Are Set</w:t>
      </w:r>
      <w:r w:rsidRPr="00E26603">
        <w:rPr>
          <w:color w:val="000000"/>
          <w:szCs w:val="22"/>
        </w:rPr>
        <w:t xml:space="preserve">, </w:t>
      </w:r>
      <w:r w:rsidRPr="00E26603">
        <w:rPr>
          <w:smallCaps/>
          <w:color w:val="000000"/>
          <w:szCs w:val="22"/>
        </w:rPr>
        <w:t>The Harvard Gazette</w:t>
      </w:r>
      <w:r w:rsidRPr="00BD35B4">
        <w:rPr>
          <w:color w:val="000000"/>
          <w:szCs w:val="22"/>
        </w:rPr>
        <w:t xml:space="preserve"> </w:t>
      </w:r>
      <w:r w:rsidRPr="00E26603">
        <w:rPr>
          <w:color w:val="000000"/>
          <w:szCs w:val="22"/>
        </w:rPr>
        <w:t>(Mar. 9, 2000</w:t>
      </w:r>
      <w:r>
        <w:rPr>
          <w:color w:val="000000"/>
          <w:szCs w:val="22"/>
        </w:rPr>
        <w:t xml:space="preserve">) </w:t>
      </w:r>
      <w:hyperlink w:history="1"/>
      <w:r w:rsidRPr="0014127B">
        <w:t>http://news.harvard.edu/gazette/story/2000/03/2000-01-undergraduate-tuition-and-fees-are-set/</w:t>
      </w:r>
      <w:r>
        <w:rPr>
          <w:szCs w:val="22"/>
        </w:rPr>
        <w:t xml:space="preserve"> </w:t>
      </w:r>
      <w:r>
        <w:rPr>
          <w:color w:val="000000"/>
          <w:szCs w:val="22"/>
        </w:rPr>
        <w:t>[perma.cc/6D2Y-53R4].</w:t>
      </w:r>
    </w:p>
  </w:footnote>
  <w:footnote w:id="145">
    <w:p w14:paraId="1225494F" w14:textId="32E53C04"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sidRPr="00BD35B4">
        <w:rPr>
          <w:iCs/>
          <w:color w:val="000000"/>
          <w:szCs w:val="22"/>
        </w:rPr>
        <w:t xml:space="preserve"> </w:t>
      </w:r>
      <w:r w:rsidRPr="00E26603">
        <w:rPr>
          <w:i/>
          <w:iCs/>
          <w:color w:val="000000"/>
          <w:szCs w:val="22"/>
        </w:rPr>
        <w:t xml:space="preserve">Harvard </w:t>
      </w:r>
      <w:r w:rsidRPr="00E26603">
        <w:rPr>
          <w:i/>
          <w:iCs/>
          <w:color w:val="000000"/>
          <w:szCs w:val="22"/>
        </w:rPr>
        <w:t>at a Glance</w:t>
      </w:r>
      <w:r w:rsidRPr="00E26603">
        <w:rPr>
          <w:color w:val="000000"/>
          <w:szCs w:val="22"/>
        </w:rPr>
        <w:t xml:space="preserve">; </w:t>
      </w:r>
      <w:r w:rsidRPr="00E26603">
        <w:rPr>
          <w:smallCaps/>
          <w:color w:val="000000"/>
          <w:szCs w:val="22"/>
        </w:rPr>
        <w:t>Harvard U.</w:t>
      </w:r>
      <w:r w:rsidRPr="00BD35B4">
        <w:rPr>
          <w:color w:val="000000"/>
          <w:szCs w:val="22"/>
        </w:rPr>
        <w:t xml:space="preserve">, </w:t>
      </w:r>
      <w:r w:rsidRPr="00E26603">
        <w:rPr>
          <w:color w:val="000000"/>
          <w:szCs w:val="22"/>
        </w:rPr>
        <w:t xml:space="preserve">https://www.harvard.edu/about-harvard/harvard-glance </w:t>
      </w:r>
      <w:r>
        <w:rPr>
          <w:color w:val="000000"/>
          <w:szCs w:val="22"/>
        </w:rPr>
        <w:t>[perma.cc/N22L-JTZM]</w:t>
      </w:r>
      <w:r w:rsidRPr="00E26603">
        <w:rPr>
          <w:color w:val="000000"/>
          <w:szCs w:val="22"/>
        </w:rPr>
        <w:t xml:space="preserve"> (last visited Jan. 19, 2020)</w:t>
      </w:r>
      <w:r>
        <w:rPr>
          <w:color w:val="000000"/>
          <w:szCs w:val="22"/>
        </w:rPr>
        <w:t>.</w:t>
      </w:r>
      <w:r w:rsidDel="00FC4A92">
        <w:rPr>
          <w:color w:val="000000"/>
          <w:szCs w:val="22"/>
        </w:rPr>
        <w:t xml:space="preserve"> </w:t>
      </w:r>
      <w:hyperlink w:history="1"/>
    </w:p>
  </w:footnote>
  <w:footnote w:id="146">
    <w:p w14:paraId="3B7A0E80" w14:textId="60CE860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t xml:space="preserve">Question posed by the author for the purposes of this </w:t>
      </w:r>
      <w:r>
        <w:rPr>
          <w:color w:val="000000"/>
          <w:szCs w:val="22"/>
        </w:rPr>
        <w:t>article.</w:t>
      </w:r>
      <w:r>
        <w:rPr>
          <w:i/>
          <w:iCs/>
          <w:color w:val="000000"/>
          <w:szCs w:val="22"/>
        </w:rPr>
        <w:t xml:space="preserve">. </w:t>
      </w:r>
    </w:p>
  </w:footnote>
  <w:footnote w:id="147">
    <w:p w14:paraId="548B242F" w14:textId="017BCE5B"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sidRPr="00E26603">
        <w:rPr>
          <w:color w:val="000000"/>
          <w:szCs w:val="22"/>
        </w:rPr>
        <w:t xml:space="preserve"> </w:t>
      </w:r>
      <w:r>
        <w:rPr>
          <w:color w:val="000000"/>
          <w:szCs w:val="22"/>
        </w:rPr>
        <w:t xml:space="preserve">Pacheco, </w:t>
      </w:r>
      <w:r>
        <w:rPr>
          <w:i/>
          <w:iCs/>
          <w:color w:val="000000"/>
          <w:szCs w:val="22"/>
        </w:rPr>
        <w:t>supra</w:t>
      </w:r>
      <w:r>
        <w:rPr>
          <w:color w:val="000000"/>
          <w:szCs w:val="22"/>
        </w:rPr>
        <w:t xml:space="preserve"> note </w:t>
      </w:r>
      <w:r>
        <w:rPr>
          <w:color w:val="000000"/>
          <w:szCs w:val="22"/>
        </w:rPr>
        <w:fldChar w:fldCharType="begin"/>
      </w:r>
      <w:r>
        <w:rPr>
          <w:color w:val="000000"/>
          <w:szCs w:val="22"/>
        </w:rPr>
        <w:instrText xml:space="preserve"> NOTEREF _Ref33805468 \h  \* MERGEFORMAT </w:instrText>
      </w:r>
      <w:r>
        <w:rPr>
          <w:color w:val="000000"/>
          <w:szCs w:val="22"/>
        </w:rPr>
      </w:r>
      <w:r>
        <w:rPr>
          <w:color w:val="000000"/>
          <w:szCs w:val="22"/>
        </w:rPr>
        <w:fldChar w:fldCharType="separate"/>
      </w:r>
      <w:r>
        <w:rPr>
          <w:color w:val="000000"/>
          <w:szCs w:val="22"/>
        </w:rPr>
        <w:t>96</w:t>
      </w:r>
      <w:r>
        <w:rPr>
          <w:color w:val="000000"/>
          <w:szCs w:val="22"/>
        </w:rPr>
        <w:fldChar w:fldCharType="end"/>
      </w:r>
      <w:r>
        <w:rPr>
          <w:color w:val="000000"/>
          <w:szCs w:val="22"/>
        </w:rPr>
        <w:t>.</w:t>
      </w:r>
    </w:p>
  </w:footnote>
  <w:footnote w:id="148">
    <w:p w14:paraId="78F7F730" w14:textId="1D9F2E04"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Pr>
          <w:i/>
          <w:color w:val="000000"/>
          <w:szCs w:val="22"/>
        </w:rPr>
        <w:t>i</w:t>
      </w:r>
      <w:r w:rsidRPr="00E26603">
        <w:rPr>
          <w:i/>
          <w:color w:val="000000"/>
          <w:szCs w:val="22"/>
        </w:rPr>
        <w:t>d.</w:t>
      </w:r>
    </w:p>
  </w:footnote>
  <w:footnote w:id="149">
    <w:p w14:paraId="5BD2DDA7" w14:textId="010AA276"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sidRPr="00E26603">
        <w:rPr>
          <w:iCs/>
          <w:color w:val="000000"/>
          <w:szCs w:val="22"/>
        </w:rPr>
        <w:t>Keisling v. Landrum</w:t>
      </w:r>
      <w:r w:rsidRPr="00E26603">
        <w:rPr>
          <w:color w:val="000000"/>
          <w:szCs w:val="22"/>
        </w:rPr>
        <w:t>, 218 S.W.3d 737, 742</w:t>
      </w:r>
      <w:r>
        <w:rPr>
          <w:color w:val="000000"/>
          <w:szCs w:val="22"/>
        </w:rPr>
        <w:t>–44</w:t>
      </w:r>
      <w:r w:rsidRPr="00E26603">
        <w:rPr>
          <w:color w:val="000000"/>
          <w:szCs w:val="22"/>
        </w:rPr>
        <w:t xml:space="preserve"> (Tex. App.</w:t>
      </w:r>
      <w:r>
        <w:rPr>
          <w:color w:val="000000"/>
          <w:szCs w:val="22"/>
        </w:rPr>
        <w:t>—Fort Worth</w:t>
      </w:r>
      <w:r w:rsidRPr="00E26603">
        <w:rPr>
          <w:color w:val="000000"/>
          <w:szCs w:val="22"/>
        </w:rPr>
        <w:t xml:space="preserve"> 2007).</w:t>
      </w:r>
    </w:p>
  </w:footnote>
  <w:footnote w:id="150">
    <w:p w14:paraId="438E3B31" w14:textId="7EB51DB5"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color w:val="000000"/>
          <w:szCs w:val="22"/>
        </w:rPr>
        <w:t>See</w:t>
      </w:r>
      <w:r w:rsidRPr="00E26603">
        <w:rPr>
          <w:color w:val="000000"/>
          <w:szCs w:val="22"/>
        </w:rPr>
        <w:t xml:space="preserve"> </w:t>
      </w:r>
      <w:r w:rsidRPr="00E26603">
        <w:rPr>
          <w:iCs/>
          <w:color w:val="000000"/>
          <w:szCs w:val="22"/>
        </w:rPr>
        <w:t xml:space="preserve">First </w:t>
      </w:r>
      <w:r>
        <w:rPr>
          <w:iCs/>
          <w:color w:val="000000"/>
          <w:szCs w:val="22"/>
        </w:rPr>
        <w:t>Nat’l</w:t>
      </w:r>
      <w:r w:rsidRPr="00E26603">
        <w:rPr>
          <w:iCs/>
          <w:color w:val="000000"/>
          <w:szCs w:val="22"/>
        </w:rPr>
        <w:t xml:space="preserve"> Bank of Beaumont v. Howard</w:t>
      </w:r>
      <w:r w:rsidRPr="00E26603">
        <w:rPr>
          <w:color w:val="000000"/>
          <w:szCs w:val="22"/>
        </w:rPr>
        <w:t>, 229 S.W.2d 781, 786 (Tex. 1950).</w:t>
      </w:r>
    </w:p>
  </w:footnote>
  <w:footnote w:id="151">
    <w:p w14:paraId="42819361" w14:textId="0ACDE34C"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Pr>
          <w:i/>
          <w:color w:val="000000"/>
          <w:szCs w:val="22"/>
        </w:rPr>
        <w:t>i</w:t>
      </w:r>
      <w:r w:rsidRPr="00E26603">
        <w:rPr>
          <w:i/>
          <w:color w:val="000000"/>
          <w:szCs w:val="22"/>
        </w:rPr>
        <w:t>d.</w:t>
      </w:r>
    </w:p>
  </w:footnote>
  <w:footnote w:id="152">
    <w:p w14:paraId="7FFFBC23" w14:textId="0B0DFBD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sidRPr="00E26603">
        <w:rPr>
          <w:color w:val="000000"/>
          <w:szCs w:val="22"/>
        </w:rPr>
        <w:t xml:space="preserve"> </w:t>
      </w:r>
      <w:r>
        <w:rPr>
          <w:color w:val="000000"/>
          <w:szCs w:val="22"/>
        </w:rPr>
        <w:t xml:space="preserve">Pacheco, </w:t>
      </w:r>
      <w:r>
        <w:rPr>
          <w:i/>
          <w:iCs/>
          <w:color w:val="000000"/>
          <w:szCs w:val="22"/>
        </w:rPr>
        <w:t>supra</w:t>
      </w:r>
      <w:r>
        <w:rPr>
          <w:color w:val="000000"/>
          <w:szCs w:val="22"/>
        </w:rPr>
        <w:t xml:space="preserve"> note </w:t>
      </w:r>
      <w:r>
        <w:rPr>
          <w:color w:val="000000"/>
          <w:szCs w:val="22"/>
        </w:rPr>
        <w:fldChar w:fldCharType="begin"/>
      </w:r>
      <w:r>
        <w:rPr>
          <w:color w:val="000000"/>
          <w:szCs w:val="22"/>
        </w:rPr>
        <w:instrText xml:space="preserve"> NOTEREF _Ref33805468 \h  \* MERGEFORMAT </w:instrText>
      </w:r>
      <w:r>
        <w:rPr>
          <w:color w:val="000000"/>
          <w:szCs w:val="22"/>
        </w:rPr>
      </w:r>
      <w:r>
        <w:rPr>
          <w:color w:val="000000"/>
          <w:szCs w:val="22"/>
        </w:rPr>
        <w:fldChar w:fldCharType="separate"/>
      </w:r>
      <w:r>
        <w:rPr>
          <w:color w:val="000000"/>
          <w:szCs w:val="22"/>
        </w:rPr>
        <w:t>96</w:t>
      </w:r>
      <w:r>
        <w:rPr>
          <w:color w:val="000000"/>
          <w:szCs w:val="22"/>
        </w:rPr>
        <w:fldChar w:fldCharType="end"/>
      </w:r>
      <w:r>
        <w:rPr>
          <w:color w:val="000000"/>
          <w:szCs w:val="22"/>
        </w:rPr>
        <w:t>.</w:t>
      </w:r>
    </w:p>
  </w:footnote>
  <w:footnote w:id="153">
    <w:p w14:paraId="10E18AFF" w14:textId="17957FDA"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w:t>
      </w:r>
      <w:r w:rsidRPr="00BD35B4">
        <w:rPr>
          <w:i/>
          <w:iCs/>
          <w:color w:val="000000"/>
          <w:szCs w:val="22"/>
        </w:rPr>
        <w:t>d</w:t>
      </w:r>
      <w:r w:rsidRPr="00BD35B4">
        <w:rPr>
          <w:i/>
          <w:color w:val="000000"/>
          <w:szCs w:val="22"/>
        </w:rPr>
        <w:t>.</w:t>
      </w:r>
    </w:p>
  </w:footnote>
  <w:footnote w:id="154">
    <w:p w14:paraId="379E0AEA" w14:textId="41FB2BF6"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292C45">
        <w:rPr>
          <w:i/>
          <w:color w:val="000000"/>
          <w:szCs w:val="22"/>
        </w:rPr>
        <w:t>See i</w:t>
      </w:r>
      <w:r w:rsidRPr="0014127B">
        <w:rPr>
          <w:i/>
          <w:color w:val="000000"/>
          <w:szCs w:val="22"/>
        </w:rPr>
        <w:t>d</w:t>
      </w:r>
      <w:r>
        <w:rPr>
          <w:i/>
          <w:color w:val="000000"/>
          <w:szCs w:val="22"/>
        </w:rPr>
        <w:t>.</w:t>
      </w:r>
    </w:p>
  </w:footnote>
  <w:footnote w:id="155">
    <w:p w14:paraId="45158847" w14:textId="11E125AE"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id</w:t>
      </w:r>
      <w:r w:rsidRPr="00E26603">
        <w:rPr>
          <w:color w:val="000000"/>
          <w:szCs w:val="22"/>
        </w:rPr>
        <w:t>.</w:t>
      </w:r>
    </w:p>
  </w:footnote>
  <w:footnote w:id="156">
    <w:p w14:paraId="6619DA64" w14:textId="193EEF84"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color w:val="000000"/>
          <w:szCs w:val="22"/>
        </w:rPr>
        <w:t>See id.</w:t>
      </w:r>
    </w:p>
  </w:footnote>
  <w:footnote w:id="157">
    <w:p w14:paraId="08DC1CED" w14:textId="1082D7DC" w:rsidR="0070346C" w:rsidRPr="00174AE1" w:rsidRDefault="0070346C" w:rsidP="00561F7C">
      <w:pPr>
        <w:pStyle w:val="FootnoteText"/>
        <w:tabs>
          <w:tab w:val="clear" w:pos="600"/>
          <w:tab w:val="left" w:pos="605"/>
        </w:tabs>
        <w:spacing w:line="480" w:lineRule="auto"/>
        <w:rPr>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Cs/>
          <w:color w:val="000000"/>
          <w:szCs w:val="22"/>
        </w:rPr>
        <w:t>State v. Rubion, 308 S.W.2d 4, 10 (Tex. 1957).</w:t>
      </w:r>
    </w:p>
  </w:footnote>
  <w:footnote w:id="158">
    <w:p w14:paraId="7F4E6777" w14:textId="38B39DF0"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Id.</w:t>
      </w:r>
      <w:r w:rsidRPr="00E26603">
        <w:rPr>
          <w:color w:val="000000"/>
          <w:szCs w:val="22"/>
        </w:rPr>
        <w:t>.</w:t>
      </w:r>
    </w:p>
  </w:footnote>
  <w:footnote w:id="159">
    <w:p w14:paraId="7DE44959" w14:textId="32CAACDB"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sidRPr="00E26603">
        <w:rPr>
          <w:color w:val="000000"/>
          <w:szCs w:val="22"/>
        </w:rPr>
        <w:t xml:space="preserve"> </w:t>
      </w:r>
      <w:r>
        <w:rPr>
          <w:color w:val="000000"/>
          <w:szCs w:val="22"/>
        </w:rPr>
        <w:t xml:space="preserve">Pacheco, </w:t>
      </w:r>
      <w:r>
        <w:rPr>
          <w:i/>
          <w:iCs/>
          <w:color w:val="000000"/>
          <w:szCs w:val="22"/>
        </w:rPr>
        <w:t>supra</w:t>
      </w:r>
      <w:r>
        <w:rPr>
          <w:color w:val="000000"/>
          <w:szCs w:val="22"/>
        </w:rPr>
        <w:t xml:space="preserve"> note </w:t>
      </w:r>
      <w:r>
        <w:rPr>
          <w:color w:val="000000"/>
          <w:szCs w:val="22"/>
        </w:rPr>
        <w:fldChar w:fldCharType="begin"/>
      </w:r>
      <w:r>
        <w:rPr>
          <w:color w:val="000000"/>
          <w:szCs w:val="22"/>
        </w:rPr>
        <w:instrText xml:space="preserve"> NOTEREF _Ref33805468 \h  \* MERGEFORMAT </w:instrText>
      </w:r>
      <w:r>
        <w:rPr>
          <w:color w:val="000000"/>
          <w:szCs w:val="22"/>
        </w:rPr>
      </w:r>
      <w:r>
        <w:rPr>
          <w:color w:val="000000"/>
          <w:szCs w:val="22"/>
        </w:rPr>
        <w:fldChar w:fldCharType="separate"/>
      </w:r>
      <w:r>
        <w:rPr>
          <w:color w:val="000000"/>
          <w:szCs w:val="22"/>
        </w:rPr>
        <w:t>96</w:t>
      </w:r>
      <w:r>
        <w:rPr>
          <w:color w:val="000000"/>
          <w:szCs w:val="22"/>
        </w:rPr>
        <w:fldChar w:fldCharType="end"/>
      </w:r>
      <w:r>
        <w:rPr>
          <w:color w:val="000000"/>
          <w:szCs w:val="22"/>
        </w:rPr>
        <w:t>.</w:t>
      </w:r>
    </w:p>
  </w:footnote>
  <w:footnote w:id="160">
    <w:p w14:paraId="39DEC4C2" w14:textId="5EB5F0E2"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BD35B4">
        <w:rPr>
          <w:i/>
          <w:iCs/>
          <w:color w:val="000000"/>
          <w:szCs w:val="22"/>
        </w:rPr>
        <w:t>Id</w:t>
      </w:r>
      <w:r w:rsidRPr="00BD35B4">
        <w:rPr>
          <w:i/>
          <w:color w:val="000000"/>
          <w:szCs w:val="22"/>
        </w:rPr>
        <w:t>.</w:t>
      </w:r>
    </w:p>
  </w:footnote>
  <w:footnote w:id="161">
    <w:p w14:paraId="322F0FD5" w14:textId="2A9BEBDE"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BD35B4">
        <w:rPr>
          <w:i/>
          <w:iCs/>
          <w:color w:val="000000"/>
          <w:szCs w:val="22"/>
        </w:rPr>
        <w:t>See id</w:t>
      </w:r>
      <w:r w:rsidRPr="00BD35B4">
        <w:rPr>
          <w:i/>
          <w:color w:val="000000"/>
          <w:szCs w:val="22"/>
        </w:rPr>
        <w:t>.</w:t>
      </w:r>
    </w:p>
  </w:footnote>
  <w:footnote w:id="162">
    <w:p w14:paraId="527F318C" w14:textId="67F55A3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BD35B4">
        <w:rPr>
          <w:i/>
          <w:iCs/>
          <w:color w:val="000000"/>
          <w:szCs w:val="22"/>
        </w:rPr>
        <w:t>Id</w:t>
      </w:r>
      <w:r w:rsidRPr="00BD35B4">
        <w:rPr>
          <w:i/>
          <w:color w:val="000000"/>
          <w:szCs w:val="22"/>
        </w:rPr>
        <w:t>.</w:t>
      </w:r>
      <w:r>
        <w:rPr>
          <w:i/>
          <w:color w:val="000000"/>
          <w:szCs w:val="22"/>
        </w:rPr>
        <w:t xml:space="preserve"> </w:t>
      </w:r>
    </w:p>
  </w:footnote>
  <w:footnote w:id="163">
    <w:p w14:paraId="749CB986" w14:textId="1D3CC878"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BD35B4">
        <w:rPr>
          <w:i/>
          <w:iCs/>
          <w:color w:val="000000"/>
          <w:szCs w:val="22"/>
        </w:rPr>
        <w:t>Id</w:t>
      </w:r>
      <w:r w:rsidRPr="00BD35B4">
        <w:rPr>
          <w:i/>
          <w:color w:val="000000"/>
          <w:szCs w:val="22"/>
        </w:rPr>
        <w:t>.</w:t>
      </w:r>
      <w:r>
        <w:rPr>
          <w:i/>
          <w:color w:val="000000"/>
          <w:szCs w:val="22"/>
        </w:rPr>
        <w:t xml:space="preserve"> </w:t>
      </w:r>
    </w:p>
  </w:footnote>
  <w:footnote w:id="164">
    <w:p w14:paraId="3B863893" w14:textId="089F600A"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BD35B4">
        <w:rPr>
          <w:i/>
          <w:iCs/>
          <w:color w:val="000000"/>
          <w:szCs w:val="22"/>
        </w:rPr>
        <w:t>Id</w:t>
      </w:r>
      <w:r w:rsidRPr="00BD35B4">
        <w:rPr>
          <w:i/>
          <w:color w:val="000000"/>
          <w:szCs w:val="22"/>
        </w:rPr>
        <w:t>.</w:t>
      </w:r>
      <w:r>
        <w:rPr>
          <w:i/>
          <w:color w:val="000000"/>
          <w:szCs w:val="22"/>
        </w:rPr>
        <w:t xml:space="preserve"> </w:t>
      </w:r>
    </w:p>
  </w:footnote>
  <w:footnote w:id="165">
    <w:p w14:paraId="273532A6" w14:textId="5149A653"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p>
  </w:footnote>
  <w:footnote w:id="166">
    <w:p w14:paraId="3EE4DC94" w14:textId="6724E168"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BD35B4">
        <w:rPr>
          <w:i/>
          <w:iCs/>
          <w:color w:val="000000"/>
          <w:szCs w:val="22"/>
        </w:rPr>
        <w:t>Id</w:t>
      </w:r>
      <w:r w:rsidRPr="00BD35B4">
        <w:rPr>
          <w:i/>
          <w:color w:val="000000"/>
          <w:szCs w:val="22"/>
        </w:rPr>
        <w:t>.</w:t>
      </w:r>
      <w:r>
        <w:rPr>
          <w:i/>
          <w:color w:val="000000"/>
          <w:szCs w:val="22"/>
        </w:rPr>
        <w:t xml:space="preserve"> </w:t>
      </w:r>
    </w:p>
  </w:footnote>
  <w:footnote w:id="167">
    <w:p w14:paraId="6CEEDE2C" w14:textId="479F00E6"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sidRPr="001D54E1">
        <w:rPr>
          <w:iCs/>
          <w:color w:val="000000"/>
          <w:szCs w:val="22"/>
        </w:rPr>
        <w:t xml:space="preserve"> </w:t>
      </w:r>
      <w:r w:rsidRPr="00E26603">
        <w:rPr>
          <w:color w:val="000000"/>
          <w:szCs w:val="22"/>
        </w:rPr>
        <w:t xml:space="preserve">Charles D. Fox IV, </w:t>
      </w:r>
      <w:r w:rsidRPr="00E26603">
        <w:rPr>
          <w:i/>
          <w:iCs/>
          <w:color w:val="000000"/>
          <w:szCs w:val="22"/>
        </w:rPr>
        <w:t xml:space="preserve">Current Issues with Distribution Standards: Can They Come Back to Bite </w:t>
      </w:r>
      <w:r w:rsidRPr="00E26603">
        <w:rPr>
          <w:i/>
          <w:iCs/>
          <w:color w:val="000000"/>
          <w:szCs w:val="22"/>
        </w:rPr>
        <w:t>You?</w:t>
      </w:r>
      <w:r w:rsidRPr="00E26603">
        <w:rPr>
          <w:color w:val="000000"/>
          <w:szCs w:val="22"/>
        </w:rPr>
        <w:t xml:space="preserve">, </w:t>
      </w:r>
      <w:r w:rsidRPr="00E26603">
        <w:rPr>
          <w:smallCaps/>
          <w:color w:val="000000"/>
          <w:szCs w:val="22"/>
        </w:rPr>
        <w:t>McGuire Woods LLP</w:t>
      </w:r>
      <w:r w:rsidRPr="001D54E1">
        <w:rPr>
          <w:color w:val="000000"/>
          <w:szCs w:val="22"/>
        </w:rPr>
        <w:t xml:space="preserve"> </w:t>
      </w:r>
      <w:r w:rsidRPr="00E26603">
        <w:rPr>
          <w:color w:val="000000"/>
          <w:szCs w:val="22"/>
        </w:rPr>
        <w:t>(2018), https://www.trusteducationfoundation.com/wp-content/</w:t>
      </w:r>
      <w:r>
        <w:rPr>
          <w:color w:val="000000"/>
          <w:szCs w:val="22"/>
        </w:rPr>
        <w:t xml:space="preserve"> </w:t>
      </w:r>
      <w:r w:rsidRPr="00E26603">
        <w:rPr>
          <w:color w:val="000000"/>
          <w:szCs w:val="22"/>
        </w:rPr>
        <w:t>uploads/2017/02/2018-TAF-Fox-Current-Issues-with-Distribution-Standards.pdf</w:t>
      </w:r>
      <w:r>
        <w:rPr>
          <w:color w:val="000000"/>
          <w:szCs w:val="22"/>
        </w:rPr>
        <w:t xml:space="preserve"> [perma.cc/PK49-FDAX].</w:t>
      </w:r>
    </w:p>
  </w:footnote>
  <w:footnote w:id="168">
    <w:p w14:paraId="22CE37F8" w14:textId="47C4B8CF"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1D54E1">
        <w:rPr>
          <w:i/>
          <w:iCs/>
          <w:color w:val="000000"/>
          <w:szCs w:val="22"/>
        </w:rPr>
        <w:t>See id</w:t>
      </w:r>
      <w:r w:rsidRPr="001D54E1">
        <w:rPr>
          <w:i/>
          <w:color w:val="000000"/>
          <w:szCs w:val="22"/>
        </w:rPr>
        <w:t>.</w:t>
      </w:r>
    </w:p>
  </w:footnote>
  <w:footnote w:id="169">
    <w:p w14:paraId="5C45F3D8" w14:textId="4AB882A3"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1D54E1">
        <w:rPr>
          <w:i/>
          <w:iCs/>
          <w:color w:val="000000"/>
          <w:szCs w:val="22"/>
        </w:rPr>
        <w:t xml:space="preserve">See </w:t>
      </w:r>
      <w:r w:rsidRPr="00E26603">
        <w:rPr>
          <w:smallCaps/>
          <w:color w:val="000000"/>
          <w:szCs w:val="22"/>
        </w:rPr>
        <w:t>Restatement (Third) of Trusts</w:t>
      </w:r>
      <w:r>
        <w:rPr>
          <w:color w:val="000000"/>
          <w:szCs w:val="22"/>
        </w:rPr>
        <w:t xml:space="preserve">: </w:t>
      </w:r>
      <w:r w:rsidRPr="0014127B">
        <w:rPr>
          <w:smallCaps/>
          <w:color w:val="000000"/>
          <w:szCs w:val="22"/>
        </w:rPr>
        <w:t xml:space="preserve">Enforcement and Construction of Discretionary Interest </w:t>
      </w:r>
      <w:r w:rsidRPr="00E26603">
        <w:rPr>
          <w:color w:val="000000"/>
          <w:szCs w:val="22"/>
        </w:rPr>
        <w:t>§</w:t>
      </w:r>
      <w:r>
        <w:rPr>
          <w:color w:val="000000"/>
          <w:szCs w:val="22"/>
        </w:rPr>
        <w:t xml:space="preserve"> </w:t>
      </w:r>
      <w:r w:rsidRPr="00E26603">
        <w:rPr>
          <w:color w:val="000000"/>
          <w:szCs w:val="22"/>
        </w:rPr>
        <w:t>50 cmt</w:t>
      </w:r>
      <w:r>
        <w:rPr>
          <w:color w:val="000000"/>
          <w:szCs w:val="22"/>
        </w:rPr>
        <w:t>. e.</w:t>
      </w:r>
    </w:p>
  </w:footnote>
  <w:footnote w:id="170">
    <w:p w14:paraId="02A87BA4" w14:textId="1AB7031E"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generally</w:t>
      </w:r>
      <w:r>
        <w:rPr>
          <w:i/>
          <w:iCs/>
          <w:color w:val="000000"/>
          <w:szCs w:val="22"/>
        </w:rPr>
        <w:t xml:space="preserve"> id. </w:t>
      </w:r>
      <w:r w:rsidRPr="00E26603">
        <w:rPr>
          <w:color w:val="000000"/>
          <w:szCs w:val="22"/>
        </w:rPr>
        <w:t>§</w:t>
      </w:r>
      <w:r>
        <w:rPr>
          <w:color w:val="000000"/>
          <w:szCs w:val="22"/>
        </w:rPr>
        <w:t xml:space="preserve"> </w:t>
      </w:r>
      <w:r w:rsidRPr="00E26603">
        <w:rPr>
          <w:color w:val="000000"/>
          <w:szCs w:val="22"/>
        </w:rPr>
        <w:t xml:space="preserve">96 </w:t>
      </w:r>
      <w:r>
        <w:rPr>
          <w:color w:val="000000"/>
          <w:szCs w:val="22"/>
        </w:rPr>
        <w:t>(</w:t>
      </w:r>
      <w:r w:rsidRPr="00E26603">
        <w:rPr>
          <w:color w:val="000000"/>
          <w:szCs w:val="22"/>
        </w:rPr>
        <w:t>explaining the use of exculpatory clauses in trusts).</w:t>
      </w:r>
    </w:p>
  </w:footnote>
  <w:footnote w:id="171">
    <w:p w14:paraId="149BF1B6" w14:textId="1583E42C"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sidRPr="00E26603">
        <w:rPr>
          <w:color w:val="000000"/>
          <w:szCs w:val="22"/>
        </w:rPr>
        <w:t xml:space="preserve"> </w:t>
      </w:r>
      <w:r>
        <w:rPr>
          <w:color w:val="000000"/>
          <w:szCs w:val="22"/>
        </w:rPr>
        <w:t xml:space="preserve">Pacheco, </w:t>
      </w:r>
      <w:r>
        <w:rPr>
          <w:i/>
          <w:iCs/>
          <w:color w:val="000000"/>
          <w:szCs w:val="22"/>
        </w:rPr>
        <w:t>supra</w:t>
      </w:r>
      <w:r>
        <w:rPr>
          <w:color w:val="000000"/>
          <w:szCs w:val="22"/>
        </w:rPr>
        <w:t xml:space="preserve"> note </w:t>
      </w:r>
      <w:r>
        <w:rPr>
          <w:color w:val="000000"/>
          <w:szCs w:val="22"/>
        </w:rPr>
        <w:fldChar w:fldCharType="begin"/>
      </w:r>
      <w:r>
        <w:rPr>
          <w:color w:val="000000"/>
          <w:szCs w:val="22"/>
        </w:rPr>
        <w:instrText xml:space="preserve"> NOTEREF _Ref33805468 \h  \* MERGEFORMAT </w:instrText>
      </w:r>
      <w:r>
        <w:rPr>
          <w:color w:val="000000"/>
          <w:szCs w:val="22"/>
        </w:rPr>
      </w:r>
      <w:r>
        <w:rPr>
          <w:color w:val="000000"/>
          <w:szCs w:val="22"/>
        </w:rPr>
        <w:fldChar w:fldCharType="separate"/>
      </w:r>
      <w:r>
        <w:rPr>
          <w:color w:val="000000"/>
          <w:szCs w:val="22"/>
        </w:rPr>
        <w:t>96</w:t>
      </w:r>
      <w:r>
        <w:rPr>
          <w:color w:val="000000"/>
          <w:szCs w:val="22"/>
        </w:rPr>
        <w:fldChar w:fldCharType="end"/>
      </w:r>
      <w:r>
        <w:rPr>
          <w:color w:val="000000"/>
          <w:szCs w:val="22"/>
        </w:rPr>
        <w:t>.</w:t>
      </w:r>
    </w:p>
  </w:footnote>
  <w:footnote w:id="172">
    <w:p w14:paraId="3D949043" w14:textId="0DDCDE9C"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1D54E1">
        <w:rPr>
          <w:i/>
          <w:iCs/>
          <w:color w:val="000000"/>
          <w:szCs w:val="22"/>
        </w:rPr>
        <w:t>Id</w:t>
      </w:r>
      <w:r w:rsidRPr="001D54E1">
        <w:rPr>
          <w:i/>
          <w:color w:val="000000"/>
          <w:szCs w:val="22"/>
        </w:rPr>
        <w:t>.</w:t>
      </w:r>
    </w:p>
  </w:footnote>
  <w:footnote w:id="173">
    <w:p w14:paraId="076F2D37" w14:textId="697E328E"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1D54E1">
        <w:rPr>
          <w:i/>
          <w:iCs/>
          <w:color w:val="000000"/>
          <w:szCs w:val="22"/>
        </w:rPr>
        <w:t>Id</w:t>
      </w:r>
      <w:r w:rsidRPr="001D54E1">
        <w:rPr>
          <w:i/>
          <w:color w:val="000000"/>
          <w:szCs w:val="22"/>
        </w:rPr>
        <w:t>.</w:t>
      </w:r>
    </w:p>
  </w:footnote>
  <w:footnote w:id="174">
    <w:p w14:paraId="4F264669" w14:textId="7FD53C3B" w:rsidR="0070346C" w:rsidRPr="00C71F3A"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C71F3A">
        <w:rPr>
          <w:i/>
          <w:iCs/>
          <w:color w:val="000000"/>
          <w:szCs w:val="22"/>
        </w:rPr>
        <w:t>Id</w:t>
      </w:r>
      <w:r w:rsidRPr="00C71F3A">
        <w:rPr>
          <w:i/>
          <w:color w:val="000000"/>
          <w:szCs w:val="22"/>
        </w:rPr>
        <w:t>.</w:t>
      </w:r>
      <w:r w:rsidRPr="00C71F3A">
        <w:rPr>
          <w:iCs/>
          <w:color w:val="000000"/>
          <w:szCs w:val="22"/>
        </w:rPr>
        <w:t xml:space="preserve">; </w:t>
      </w:r>
      <w:r w:rsidRPr="0014127B">
        <w:rPr>
          <w:i/>
          <w:iCs/>
          <w:color w:val="000000"/>
          <w:szCs w:val="22"/>
        </w:rPr>
        <w:t>c</w:t>
      </w:r>
      <w:r w:rsidRPr="00C71F3A">
        <w:rPr>
          <w:i/>
          <w:iCs/>
          <w:color w:val="000000"/>
          <w:szCs w:val="22"/>
        </w:rPr>
        <w:t xml:space="preserve">ompare </w:t>
      </w:r>
      <w:r w:rsidRPr="00C71F3A">
        <w:rPr>
          <w:color w:val="000000"/>
          <w:szCs w:val="22"/>
        </w:rPr>
        <w:t xml:space="preserve">Rubin, 308 S.W.2d 4 </w:t>
      </w:r>
      <w:r w:rsidRPr="00C71F3A">
        <w:rPr>
          <w:i/>
          <w:iCs/>
          <w:color w:val="000000"/>
          <w:szCs w:val="22"/>
        </w:rPr>
        <w:t xml:space="preserve">with </w:t>
      </w:r>
      <w:r w:rsidRPr="00C71F3A">
        <w:rPr>
          <w:color w:val="000000"/>
          <w:szCs w:val="22"/>
        </w:rPr>
        <w:t>Penix v. First National Bank of Paris,</w:t>
      </w:r>
      <w:r w:rsidRPr="00C71F3A">
        <w:rPr>
          <w:i/>
          <w:iCs/>
          <w:color w:val="000000"/>
          <w:szCs w:val="22"/>
        </w:rPr>
        <w:t xml:space="preserve"> </w:t>
      </w:r>
      <w:r w:rsidRPr="00C71F3A">
        <w:rPr>
          <w:color w:val="000000"/>
          <w:szCs w:val="22"/>
        </w:rPr>
        <w:t xml:space="preserve">260 S.W.2d 63 (Tex. Civ. App.—Texarkana 1953, </w:t>
      </w:r>
      <w:r w:rsidRPr="00C71F3A">
        <w:rPr>
          <w:i/>
          <w:color w:val="000000"/>
          <w:szCs w:val="22"/>
        </w:rPr>
        <w:t>writ ref’d</w:t>
      </w:r>
      <w:r w:rsidRPr="00C71F3A">
        <w:rPr>
          <w:color w:val="000000"/>
          <w:szCs w:val="22"/>
        </w:rPr>
        <w:t>).</w:t>
      </w:r>
    </w:p>
  </w:footnote>
  <w:footnote w:id="175">
    <w:p w14:paraId="0A68032A" w14:textId="48792306" w:rsidR="0070346C" w:rsidRPr="00E26603" w:rsidRDefault="0070346C" w:rsidP="00561F7C">
      <w:pPr>
        <w:pStyle w:val="FootnoteText"/>
        <w:tabs>
          <w:tab w:val="clear" w:pos="600"/>
          <w:tab w:val="left" w:pos="605"/>
        </w:tabs>
        <w:spacing w:line="480" w:lineRule="auto"/>
        <w:rPr>
          <w:color w:val="000000"/>
          <w:szCs w:val="22"/>
        </w:rPr>
      </w:pPr>
      <w:r w:rsidRPr="00C71F3A">
        <w:rPr>
          <w:color w:val="000000"/>
          <w:szCs w:val="22"/>
        </w:rPr>
        <w:tab/>
      </w:r>
      <w:r w:rsidRPr="00C71F3A">
        <w:rPr>
          <w:rStyle w:val="FootnoteReference"/>
          <w:color w:val="000000"/>
          <w:sz w:val="16"/>
          <w:szCs w:val="22"/>
          <w:vertAlign w:val="baseline"/>
        </w:rPr>
        <w:footnoteRef/>
      </w:r>
      <w:r w:rsidRPr="00C71F3A">
        <w:rPr>
          <w:color w:val="000000"/>
          <w:szCs w:val="22"/>
        </w:rPr>
        <w:t>.</w:t>
      </w:r>
      <w:r w:rsidRPr="00C71F3A">
        <w:rPr>
          <w:color w:val="000000"/>
          <w:szCs w:val="22"/>
        </w:rPr>
        <w:tab/>
      </w:r>
      <w:r w:rsidRPr="00C71F3A">
        <w:rPr>
          <w:color w:val="000000"/>
          <w:szCs w:val="22"/>
        </w:rPr>
        <w:t xml:space="preserve">Pacheco, </w:t>
      </w:r>
      <w:r w:rsidRPr="00C71F3A">
        <w:rPr>
          <w:i/>
          <w:iCs/>
          <w:color w:val="000000"/>
          <w:szCs w:val="22"/>
        </w:rPr>
        <w:t>supra</w:t>
      </w:r>
      <w:r w:rsidRPr="00C71F3A">
        <w:rPr>
          <w:color w:val="000000"/>
          <w:szCs w:val="22"/>
        </w:rPr>
        <w:t xml:space="preserve"> note </w:t>
      </w:r>
      <w:r w:rsidRPr="00C71F3A">
        <w:rPr>
          <w:color w:val="000000"/>
          <w:szCs w:val="22"/>
        </w:rPr>
        <w:fldChar w:fldCharType="begin"/>
      </w:r>
      <w:r w:rsidRPr="00C71F3A">
        <w:rPr>
          <w:color w:val="000000"/>
          <w:szCs w:val="22"/>
        </w:rPr>
        <w:instrText xml:space="preserve"> NOTEREF _Ref33805468 \h </w:instrText>
      </w:r>
      <w:r>
        <w:rPr>
          <w:color w:val="000000"/>
          <w:szCs w:val="22"/>
        </w:rPr>
        <w:instrText xml:space="preserve"> \* MERGEFORMAT </w:instrText>
      </w:r>
      <w:r w:rsidRPr="00C71F3A">
        <w:rPr>
          <w:color w:val="000000"/>
          <w:szCs w:val="22"/>
        </w:rPr>
      </w:r>
      <w:r w:rsidRPr="00C71F3A">
        <w:rPr>
          <w:color w:val="000000"/>
          <w:szCs w:val="22"/>
        </w:rPr>
        <w:fldChar w:fldCharType="separate"/>
      </w:r>
      <w:r w:rsidRPr="00C71F3A">
        <w:rPr>
          <w:color w:val="000000"/>
          <w:szCs w:val="22"/>
        </w:rPr>
        <w:t>96</w:t>
      </w:r>
      <w:r w:rsidRPr="00C71F3A">
        <w:rPr>
          <w:color w:val="000000"/>
          <w:szCs w:val="22"/>
        </w:rPr>
        <w:fldChar w:fldCharType="end"/>
      </w:r>
      <w:r>
        <w:rPr>
          <w:color w:val="000000"/>
          <w:szCs w:val="22"/>
        </w:rPr>
        <w:t>, at 9</w:t>
      </w:r>
      <w:r w:rsidRPr="00C71F3A">
        <w:rPr>
          <w:color w:val="000000"/>
          <w:szCs w:val="22"/>
        </w:rPr>
        <w:t xml:space="preserve">; </w:t>
      </w:r>
      <w:r w:rsidRPr="00C71F3A">
        <w:rPr>
          <w:i/>
          <w:color w:val="000000"/>
          <w:szCs w:val="22"/>
        </w:rPr>
        <w:t>Rubion</w:t>
      </w:r>
      <w:r w:rsidRPr="00C71F3A">
        <w:rPr>
          <w:color w:val="000000"/>
          <w:szCs w:val="22"/>
        </w:rPr>
        <w:t>, 308 S.W.2d at 8.</w:t>
      </w:r>
    </w:p>
  </w:footnote>
  <w:footnote w:id="176">
    <w:p w14:paraId="534E0DA4" w14:textId="327491E1" w:rsidR="0070346C" w:rsidRPr="0014127B"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14127B">
        <w:rPr>
          <w:color w:val="000000"/>
          <w:szCs w:val="22"/>
        </w:rPr>
        <w:t>P</w:t>
      </w:r>
      <w:r w:rsidRPr="00C71F3A">
        <w:rPr>
          <w:color w:val="000000"/>
          <w:szCs w:val="22"/>
        </w:rPr>
        <w:t xml:space="preserve">acheco, </w:t>
      </w:r>
      <w:r w:rsidRPr="00C71F3A">
        <w:rPr>
          <w:i/>
          <w:iCs/>
          <w:color w:val="000000"/>
          <w:szCs w:val="22"/>
        </w:rPr>
        <w:t>supra</w:t>
      </w:r>
      <w:r w:rsidRPr="00C71F3A">
        <w:rPr>
          <w:color w:val="000000"/>
          <w:szCs w:val="22"/>
        </w:rPr>
        <w:t xml:space="preserve"> note </w:t>
      </w:r>
      <w:r w:rsidRPr="00C71F3A">
        <w:rPr>
          <w:color w:val="000000"/>
          <w:szCs w:val="22"/>
        </w:rPr>
        <w:fldChar w:fldCharType="begin"/>
      </w:r>
      <w:r w:rsidRPr="00C71F3A">
        <w:rPr>
          <w:color w:val="000000"/>
          <w:szCs w:val="22"/>
        </w:rPr>
        <w:instrText xml:space="preserve"> NOTEREF _Ref33805468 \h </w:instrText>
      </w:r>
      <w:r>
        <w:rPr>
          <w:color w:val="000000"/>
          <w:szCs w:val="22"/>
        </w:rPr>
        <w:instrText xml:space="preserve"> \* MERGEFORMAT </w:instrText>
      </w:r>
      <w:r w:rsidRPr="00C71F3A">
        <w:rPr>
          <w:color w:val="000000"/>
          <w:szCs w:val="22"/>
        </w:rPr>
      </w:r>
      <w:r w:rsidRPr="00C71F3A">
        <w:rPr>
          <w:color w:val="000000"/>
          <w:szCs w:val="22"/>
        </w:rPr>
        <w:fldChar w:fldCharType="separate"/>
      </w:r>
      <w:r w:rsidRPr="00C71F3A">
        <w:rPr>
          <w:color w:val="000000"/>
          <w:szCs w:val="22"/>
        </w:rPr>
        <w:t>96</w:t>
      </w:r>
      <w:r w:rsidRPr="00C71F3A">
        <w:rPr>
          <w:color w:val="000000"/>
          <w:szCs w:val="22"/>
        </w:rPr>
        <w:fldChar w:fldCharType="end"/>
      </w:r>
      <w:r>
        <w:rPr>
          <w:color w:val="000000"/>
          <w:szCs w:val="22"/>
        </w:rPr>
        <w:t>, at 9</w:t>
      </w:r>
      <w:r w:rsidRPr="00C71F3A">
        <w:rPr>
          <w:color w:val="000000"/>
          <w:szCs w:val="22"/>
        </w:rPr>
        <w:t xml:space="preserve">; </w:t>
      </w:r>
      <w:r w:rsidRPr="00C71F3A">
        <w:rPr>
          <w:i/>
          <w:color w:val="000000"/>
          <w:szCs w:val="22"/>
        </w:rPr>
        <w:t>Rubion</w:t>
      </w:r>
      <w:r w:rsidRPr="00C71F3A">
        <w:rPr>
          <w:color w:val="000000"/>
          <w:szCs w:val="22"/>
        </w:rPr>
        <w:t>, 308 S.W.2d at 8.</w:t>
      </w:r>
    </w:p>
  </w:footnote>
  <w:footnote w:id="177">
    <w:p w14:paraId="746E2CEF" w14:textId="3D0D34B0" w:rsidR="0070346C" w:rsidRPr="0014127B"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C71F3A">
        <w:rPr>
          <w:color w:val="000000"/>
          <w:szCs w:val="22"/>
        </w:rPr>
        <w:t xml:space="preserve">Pacheco, </w:t>
      </w:r>
      <w:r w:rsidRPr="00C71F3A">
        <w:rPr>
          <w:i/>
          <w:iCs/>
          <w:color w:val="000000"/>
          <w:szCs w:val="22"/>
        </w:rPr>
        <w:t>supra</w:t>
      </w:r>
      <w:r w:rsidRPr="00C71F3A">
        <w:rPr>
          <w:color w:val="000000"/>
          <w:szCs w:val="22"/>
        </w:rPr>
        <w:t xml:space="preserve"> note </w:t>
      </w:r>
      <w:r w:rsidRPr="00C71F3A">
        <w:rPr>
          <w:color w:val="000000"/>
          <w:szCs w:val="22"/>
        </w:rPr>
        <w:fldChar w:fldCharType="begin"/>
      </w:r>
      <w:r w:rsidRPr="00C71F3A">
        <w:rPr>
          <w:color w:val="000000"/>
          <w:szCs w:val="22"/>
        </w:rPr>
        <w:instrText xml:space="preserve"> NOTEREF _Ref33805468 \h </w:instrText>
      </w:r>
      <w:r>
        <w:rPr>
          <w:color w:val="000000"/>
          <w:szCs w:val="22"/>
        </w:rPr>
        <w:instrText xml:space="preserve"> \* MERGEFORMAT </w:instrText>
      </w:r>
      <w:r w:rsidRPr="00C71F3A">
        <w:rPr>
          <w:color w:val="000000"/>
          <w:szCs w:val="22"/>
        </w:rPr>
      </w:r>
      <w:r w:rsidRPr="00C71F3A">
        <w:rPr>
          <w:color w:val="000000"/>
          <w:szCs w:val="22"/>
        </w:rPr>
        <w:fldChar w:fldCharType="separate"/>
      </w:r>
      <w:r w:rsidRPr="00C71F3A">
        <w:rPr>
          <w:color w:val="000000"/>
          <w:szCs w:val="22"/>
        </w:rPr>
        <w:t>96</w:t>
      </w:r>
      <w:r w:rsidRPr="00C71F3A">
        <w:rPr>
          <w:color w:val="000000"/>
          <w:szCs w:val="22"/>
        </w:rPr>
        <w:fldChar w:fldCharType="end"/>
      </w:r>
      <w:r>
        <w:rPr>
          <w:color w:val="000000"/>
          <w:szCs w:val="22"/>
        </w:rPr>
        <w:t>, at 9</w:t>
      </w:r>
      <w:r w:rsidRPr="00C71F3A">
        <w:rPr>
          <w:color w:val="000000"/>
          <w:szCs w:val="22"/>
        </w:rPr>
        <w:t xml:space="preserve">; </w:t>
      </w:r>
      <w:r w:rsidRPr="00C71F3A">
        <w:rPr>
          <w:i/>
          <w:color w:val="000000"/>
          <w:szCs w:val="22"/>
        </w:rPr>
        <w:t>Rubion</w:t>
      </w:r>
      <w:r w:rsidRPr="00C71F3A">
        <w:rPr>
          <w:color w:val="000000"/>
          <w:szCs w:val="22"/>
        </w:rPr>
        <w:t>, 308 S.W.2d at 8.</w:t>
      </w:r>
    </w:p>
  </w:footnote>
  <w:footnote w:id="178">
    <w:p w14:paraId="41BEBD4B" w14:textId="448B5982"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C71F3A">
        <w:rPr>
          <w:color w:val="000000"/>
          <w:szCs w:val="22"/>
        </w:rPr>
        <w:t xml:space="preserve">Pacheco, </w:t>
      </w:r>
      <w:r w:rsidRPr="00C71F3A">
        <w:rPr>
          <w:i/>
          <w:iCs/>
          <w:color w:val="000000"/>
          <w:szCs w:val="22"/>
        </w:rPr>
        <w:t>supra</w:t>
      </w:r>
      <w:r w:rsidRPr="00C71F3A">
        <w:rPr>
          <w:color w:val="000000"/>
          <w:szCs w:val="22"/>
        </w:rPr>
        <w:t xml:space="preserve"> note </w:t>
      </w:r>
      <w:r w:rsidRPr="00C71F3A">
        <w:rPr>
          <w:color w:val="000000"/>
          <w:szCs w:val="22"/>
        </w:rPr>
        <w:fldChar w:fldCharType="begin"/>
      </w:r>
      <w:r w:rsidRPr="00C71F3A">
        <w:rPr>
          <w:color w:val="000000"/>
          <w:szCs w:val="22"/>
        </w:rPr>
        <w:instrText xml:space="preserve"> NOTEREF _Ref33805468 \h </w:instrText>
      </w:r>
      <w:r>
        <w:rPr>
          <w:color w:val="000000"/>
          <w:szCs w:val="22"/>
        </w:rPr>
        <w:instrText xml:space="preserve"> \* MERGEFORMAT </w:instrText>
      </w:r>
      <w:r w:rsidRPr="00C71F3A">
        <w:rPr>
          <w:color w:val="000000"/>
          <w:szCs w:val="22"/>
        </w:rPr>
      </w:r>
      <w:r w:rsidRPr="00C71F3A">
        <w:rPr>
          <w:color w:val="000000"/>
          <w:szCs w:val="22"/>
        </w:rPr>
        <w:fldChar w:fldCharType="separate"/>
      </w:r>
      <w:r w:rsidRPr="00C71F3A">
        <w:rPr>
          <w:color w:val="000000"/>
          <w:szCs w:val="22"/>
        </w:rPr>
        <w:t>96</w:t>
      </w:r>
      <w:r w:rsidRPr="00C71F3A">
        <w:rPr>
          <w:color w:val="000000"/>
          <w:szCs w:val="22"/>
        </w:rPr>
        <w:fldChar w:fldCharType="end"/>
      </w:r>
      <w:r>
        <w:rPr>
          <w:color w:val="000000"/>
          <w:szCs w:val="22"/>
        </w:rPr>
        <w:t>, at 9</w:t>
      </w:r>
      <w:r w:rsidRPr="00C71F3A">
        <w:rPr>
          <w:color w:val="000000"/>
          <w:szCs w:val="22"/>
        </w:rPr>
        <w:t xml:space="preserve">; </w:t>
      </w:r>
      <w:r w:rsidRPr="00C71F3A">
        <w:rPr>
          <w:i/>
          <w:color w:val="000000"/>
          <w:szCs w:val="22"/>
        </w:rPr>
        <w:t>Rubion</w:t>
      </w:r>
      <w:r w:rsidRPr="00C71F3A">
        <w:rPr>
          <w:color w:val="000000"/>
          <w:szCs w:val="22"/>
        </w:rPr>
        <w:t xml:space="preserve">, 308 S.W.2d at </w:t>
      </w:r>
      <w:r>
        <w:rPr>
          <w:color w:val="000000"/>
          <w:szCs w:val="22"/>
        </w:rPr>
        <w:t>9.</w:t>
      </w:r>
    </w:p>
  </w:footnote>
  <w:footnote w:id="179">
    <w:p w14:paraId="4D70B273" w14:textId="7FB7666D"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C71F3A">
        <w:rPr>
          <w:color w:val="000000"/>
          <w:szCs w:val="22"/>
        </w:rPr>
        <w:t xml:space="preserve">Pacheco, </w:t>
      </w:r>
      <w:r w:rsidRPr="00C71F3A">
        <w:rPr>
          <w:i/>
          <w:iCs/>
          <w:color w:val="000000"/>
          <w:szCs w:val="22"/>
        </w:rPr>
        <w:t>supra</w:t>
      </w:r>
      <w:r w:rsidRPr="00C71F3A">
        <w:rPr>
          <w:color w:val="000000"/>
          <w:szCs w:val="22"/>
        </w:rPr>
        <w:t xml:space="preserve"> note </w:t>
      </w:r>
      <w:r w:rsidRPr="00C71F3A">
        <w:rPr>
          <w:color w:val="000000"/>
          <w:szCs w:val="22"/>
        </w:rPr>
        <w:fldChar w:fldCharType="begin"/>
      </w:r>
      <w:r w:rsidRPr="00C71F3A">
        <w:rPr>
          <w:color w:val="000000"/>
          <w:szCs w:val="22"/>
        </w:rPr>
        <w:instrText xml:space="preserve"> NOTEREF _Ref33805468 \h </w:instrText>
      </w:r>
      <w:r>
        <w:rPr>
          <w:color w:val="000000"/>
          <w:szCs w:val="22"/>
        </w:rPr>
        <w:instrText xml:space="preserve"> \* MERGEFORMAT </w:instrText>
      </w:r>
      <w:r w:rsidRPr="00C71F3A">
        <w:rPr>
          <w:color w:val="000000"/>
          <w:szCs w:val="22"/>
        </w:rPr>
      </w:r>
      <w:r w:rsidRPr="00C71F3A">
        <w:rPr>
          <w:color w:val="000000"/>
          <w:szCs w:val="22"/>
        </w:rPr>
        <w:fldChar w:fldCharType="separate"/>
      </w:r>
      <w:r w:rsidRPr="00C71F3A">
        <w:rPr>
          <w:color w:val="000000"/>
          <w:szCs w:val="22"/>
        </w:rPr>
        <w:t>96</w:t>
      </w:r>
      <w:r w:rsidRPr="00C71F3A">
        <w:rPr>
          <w:color w:val="000000"/>
          <w:szCs w:val="22"/>
        </w:rPr>
        <w:fldChar w:fldCharType="end"/>
      </w:r>
      <w:r>
        <w:rPr>
          <w:color w:val="000000"/>
          <w:szCs w:val="22"/>
        </w:rPr>
        <w:t>, at 9</w:t>
      </w:r>
      <w:r w:rsidRPr="00C71F3A">
        <w:rPr>
          <w:color w:val="000000"/>
          <w:szCs w:val="22"/>
        </w:rPr>
        <w:t xml:space="preserve">; </w:t>
      </w:r>
      <w:r w:rsidRPr="00E26603">
        <w:rPr>
          <w:i/>
          <w:color w:val="000000"/>
          <w:szCs w:val="22"/>
        </w:rPr>
        <w:t>See</w:t>
      </w:r>
      <w:r w:rsidRPr="00E26603">
        <w:rPr>
          <w:color w:val="000000"/>
          <w:szCs w:val="22"/>
        </w:rPr>
        <w:t xml:space="preserve"> </w:t>
      </w:r>
      <w:r w:rsidRPr="00E26603">
        <w:rPr>
          <w:i/>
          <w:color w:val="000000"/>
          <w:szCs w:val="22"/>
        </w:rPr>
        <w:t>Penix</w:t>
      </w:r>
      <w:r w:rsidRPr="00E26603">
        <w:rPr>
          <w:color w:val="000000"/>
          <w:szCs w:val="22"/>
        </w:rPr>
        <w:t>, 260 S.W.2d at 67.</w:t>
      </w:r>
    </w:p>
  </w:footnote>
  <w:footnote w:id="180">
    <w:p w14:paraId="777AB533" w14:textId="5DE2E4D1"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C71F3A">
        <w:rPr>
          <w:color w:val="000000"/>
          <w:szCs w:val="22"/>
        </w:rPr>
        <w:t xml:space="preserve">Pacheco, </w:t>
      </w:r>
      <w:r w:rsidRPr="00C71F3A">
        <w:rPr>
          <w:i/>
          <w:iCs/>
          <w:color w:val="000000"/>
          <w:szCs w:val="22"/>
        </w:rPr>
        <w:t>supra</w:t>
      </w:r>
      <w:r w:rsidRPr="00C71F3A">
        <w:rPr>
          <w:color w:val="000000"/>
          <w:szCs w:val="22"/>
        </w:rPr>
        <w:t xml:space="preserve"> note </w:t>
      </w:r>
      <w:r w:rsidRPr="00C71F3A">
        <w:rPr>
          <w:color w:val="000000"/>
          <w:szCs w:val="22"/>
        </w:rPr>
        <w:fldChar w:fldCharType="begin"/>
      </w:r>
      <w:r w:rsidRPr="00C71F3A">
        <w:rPr>
          <w:color w:val="000000"/>
          <w:szCs w:val="22"/>
        </w:rPr>
        <w:instrText xml:space="preserve"> NOTEREF _Ref33805468 \h </w:instrText>
      </w:r>
      <w:r>
        <w:rPr>
          <w:color w:val="000000"/>
          <w:szCs w:val="22"/>
        </w:rPr>
        <w:instrText xml:space="preserve"> \* MERGEFORMAT </w:instrText>
      </w:r>
      <w:r w:rsidRPr="00C71F3A">
        <w:rPr>
          <w:color w:val="000000"/>
          <w:szCs w:val="22"/>
        </w:rPr>
      </w:r>
      <w:r w:rsidRPr="00C71F3A">
        <w:rPr>
          <w:color w:val="000000"/>
          <w:szCs w:val="22"/>
        </w:rPr>
        <w:fldChar w:fldCharType="separate"/>
      </w:r>
      <w:r w:rsidRPr="00C71F3A">
        <w:rPr>
          <w:color w:val="000000"/>
          <w:szCs w:val="22"/>
        </w:rPr>
        <w:t>96</w:t>
      </w:r>
      <w:r w:rsidRPr="00C71F3A">
        <w:rPr>
          <w:color w:val="000000"/>
          <w:szCs w:val="22"/>
        </w:rPr>
        <w:fldChar w:fldCharType="end"/>
      </w:r>
      <w:r>
        <w:rPr>
          <w:color w:val="000000"/>
          <w:szCs w:val="22"/>
        </w:rPr>
        <w:t>, at 9</w:t>
      </w:r>
      <w:r w:rsidRPr="00C71F3A">
        <w:rPr>
          <w:color w:val="000000"/>
          <w:szCs w:val="22"/>
        </w:rPr>
        <w:t xml:space="preserve">; </w:t>
      </w:r>
      <w:r w:rsidRPr="00E26603">
        <w:rPr>
          <w:i/>
          <w:color w:val="000000"/>
          <w:szCs w:val="22"/>
        </w:rPr>
        <w:t>Penix</w:t>
      </w:r>
      <w:r w:rsidRPr="00E26603">
        <w:rPr>
          <w:color w:val="000000"/>
          <w:szCs w:val="22"/>
        </w:rPr>
        <w:t>, 260 S.W.2d at 64–65.</w:t>
      </w:r>
    </w:p>
  </w:footnote>
  <w:footnote w:id="181">
    <w:p w14:paraId="3986540C" w14:textId="6471145E"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C71F3A">
        <w:rPr>
          <w:color w:val="000000"/>
          <w:szCs w:val="22"/>
        </w:rPr>
        <w:t xml:space="preserve">Pacheco, </w:t>
      </w:r>
      <w:r w:rsidRPr="00C71F3A">
        <w:rPr>
          <w:i/>
          <w:iCs/>
          <w:color w:val="000000"/>
          <w:szCs w:val="22"/>
        </w:rPr>
        <w:t>supra</w:t>
      </w:r>
      <w:r w:rsidRPr="00C71F3A">
        <w:rPr>
          <w:color w:val="000000"/>
          <w:szCs w:val="22"/>
        </w:rPr>
        <w:t xml:space="preserve"> note </w:t>
      </w:r>
      <w:r w:rsidRPr="00C71F3A">
        <w:rPr>
          <w:color w:val="000000"/>
          <w:szCs w:val="22"/>
        </w:rPr>
        <w:fldChar w:fldCharType="begin"/>
      </w:r>
      <w:r w:rsidRPr="00C71F3A">
        <w:rPr>
          <w:color w:val="000000"/>
          <w:szCs w:val="22"/>
        </w:rPr>
        <w:instrText xml:space="preserve"> NOTEREF _Ref33805468 \h </w:instrText>
      </w:r>
      <w:r>
        <w:rPr>
          <w:color w:val="000000"/>
          <w:szCs w:val="22"/>
        </w:rPr>
        <w:instrText xml:space="preserve"> \* MERGEFORMAT </w:instrText>
      </w:r>
      <w:r w:rsidRPr="00C71F3A">
        <w:rPr>
          <w:color w:val="000000"/>
          <w:szCs w:val="22"/>
        </w:rPr>
      </w:r>
      <w:r w:rsidRPr="00C71F3A">
        <w:rPr>
          <w:color w:val="000000"/>
          <w:szCs w:val="22"/>
        </w:rPr>
        <w:fldChar w:fldCharType="separate"/>
      </w:r>
      <w:r w:rsidRPr="00C71F3A">
        <w:rPr>
          <w:color w:val="000000"/>
          <w:szCs w:val="22"/>
        </w:rPr>
        <w:t>96</w:t>
      </w:r>
      <w:r w:rsidRPr="00C71F3A">
        <w:rPr>
          <w:color w:val="000000"/>
          <w:szCs w:val="22"/>
        </w:rPr>
        <w:fldChar w:fldCharType="end"/>
      </w:r>
      <w:r>
        <w:rPr>
          <w:color w:val="000000"/>
          <w:szCs w:val="22"/>
        </w:rPr>
        <w:t>, at 9</w:t>
      </w:r>
      <w:r w:rsidRPr="00C71F3A">
        <w:rPr>
          <w:color w:val="000000"/>
          <w:szCs w:val="22"/>
        </w:rPr>
        <w:t xml:space="preserve">; </w:t>
      </w:r>
      <w:r w:rsidRPr="00E26603">
        <w:rPr>
          <w:i/>
          <w:color w:val="000000"/>
          <w:szCs w:val="22"/>
        </w:rPr>
        <w:t>Penix</w:t>
      </w:r>
      <w:r w:rsidRPr="00E26603">
        <w:rPr>
          <w:color w:val="000000"/>
          <w:szCs w:val="22"/>
        </w:rPr>
        <w:t>, 260 S.W.2d at 64–65.</w:t>
      </w:r>
      <w:r w:rsidRPr="00E26603">
        <w:rPr>
          <w:i/>
          <w:color w:val="000000"/>
          <w:szCs w:val="22"/>
        </w:rPr>
        <w:t>.</w:t>
      </w:r>
    </w:p>
  </w:footnote>
  <w:footnote w:id="182">
    <w:p w14:paraId="71532733" w14:textId="6127504F" w:rsidR="0070346C" w:rsidRPr="00E26603" w:rsidRDefault="0070346C" w:rsidP="00561F7C">
      <w:pPr>
        <w:pStyle w:val="FootnoteText"/>
        <w:tabs>
          <w:tab w:val="clear" w:pos="600"/>
          <w:tab w:val="left" w:pos="605"/>
        </w:tabs>
        <w:spacing w:line="480" w:lineRule="auto"/>
        <w:rPr>
          <w:i/>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C71F3A">
        <w:rPr>
          <w:color w:val="000000"/>
          <w:szCs w:val="22"/>
        </w:rPr>
        <w:t xml:space="preserve">Pacheco, </w:t>
      </w:r>
      <w:r w:rsidRPr="00C71F3A">
        <w:rPr>
          <w:i/>
          <w:iCs/>
          <w:color w:val="000000"/>
          <w:szCs w:val="22"/>
        </w:rPr>
        <w:t>supra</w:t>
      </w:r>
      <w:r w:rsidRPr="00C71F3A">
        <w:rPr>
          <w:color w:val="000000"/>
          <w:szCs w:val="22"/>
        </w:rPr>
        <w:t xml:space="preserve"> note </w:t>
      </w:r>
      <w:r w:rsidRPr="00C71F3A">
        <w:rPr>
          <w:color w:val="000000"/>
          <w:szCs w:val="22"/>
        </w:rPr>
        <w:fldChar w:fldCharType="begin"/>
      </w:r>
      <w:r w:rsidRPr="00C71F3A">
        <w:rPr>
          <w:color w:val="000000"/>
          <w:szCs w:val="22"/>
        </w:rPr>
        <w:instrText xml:space="preserve"> NOTEREF _Ref33805468 \h </w:instrText>
      </w:r>
      <w:r>
        <w:rPr>
          <w:color w:val="000000"/>
          <w:szCs w:val="22"/>
        </w:rPr>
        <w:instrText xml:space="preserve"> \* MERGEFORMAT </w:instrText>
      </w:r>
      <w:r w:rsidRPr="00C71F3A">
        <w:rPr>
          <w:color w:val="000000"/>
          <w:szCs w:val="22"/>
        </w:rPr>
      </w:r>
      <w:r w:rsidRPr="00C71F3A">
        <w:rPr>
          <w:color w:val="000000"/>
          <w:szCs w:val="22"/>
        </w:rPr>
        <w:fldChar w:fldCharType="separate"/>
      </w:r>
      <w:r w:rsidRPr="00C71F3A">
        <w:rPr>
          <w:color w:val="000000"/>
          <w:szCs w:val="22"/>
        </w:rPr>
        <w:t>96</w:t>
      </w:r>
      <w:r w:rsidRPr="00C71F3A">
        <w:rPr>
          <w:color w:val="000000"/>
          <w:szCs w:val="22"/>
        </w:rPr>
        <w:fldChar w:fldCharType="end"/>
      </w:r>
      <w:r>
        <w:rPr>
          <w:color w:val="000000"/>
          <w:szCs w:val="22"/>
        </w:rPr>
        <w:t>, at 9</w:t>
      </w:r>
      <w:r w:rsidRPr="00C71F3A">
        <w:rPr>
          <w:color w:val="000000"/>
          <w:szCs w:val="22"/>
        </w:rPr>
        <w:t xml:space="preserve">; </w:t>
      </w:r>
      <w:r w:rsidRPr="00E26603">
        <w:rPr>
          <w:i/>
          <w:color w:val="000000"/>
          <w:szCs w:val="22"/>
        </w:rPr>
        <w:t>Penix</w:t>
      </w:r>
      <w:r w:rsidRPr="00E26603">
        <w:rPr>
          <w:color w:val="000000"/>
          <w:szCs w:val="22"/>
        </w:rPr>
        <w:t>, 260 S.W.2d at 64–65.</w:t>
      </w:r>
    </w:p>
  </w:footnote>
  <w:footnote w:id="183">
    <w:p w14:paraId="1E13BD60" w14:textId="1DB98231"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C71F3A">
        <w:rPr>
          <w:color w:val="000000"/>
          <w:szCs w:val="22"/>
        </w:rPr>
        <w:t xml:space="preserve">Pacheco, </w:t>
      </w:r>
      <w:r w:rsidRPr="00C71F3A">
        <w:rPr>
          <w:i/>
          <w:iCs/>
          <w:color w:val="000000"/>
          <w:szCs w:val="22"/>
        </w:rPr>
        <w:t>supra</w:t>
      </w:r>
      <w:r w:rsidRPr="00C71F3A">
        <w:rPr>
          <w:color w:val="000000"/>
          <w:szCs w:val="22"/>
        </w:rPr>
        <w:t xml:space="preserve"> note </w:t>
      </w:r>
      <w:r w:rsidRPr="00C71F3A">
        <w:rPr>
          <w:color w:val="000000"/>
          <w:szCs w:val="22"/>
        </w:rPr>
        <w:fldChar w:fldCharType="begin"/>
      </w:r>
      <w:r w:rsidRPr="00C71F3A">
        <w:rPr>
          <w:color w:val="000000"/>
          <w:szCs w:val="22"/>
        </w:rPr>
        <w:instrText xml:space="preserve"> NOTEREF _Ref33805468 \h </w:instrText>
      </w:r>
      <w:r>
        <w:rPr>
          <w:color w:val="000000"/>
          <w:szCs w:val="22"/>
        </w:rPr>
        <w:instrText xml:space="preserve"> \* MERGEFORMAT </w:instrText>
      </w:r>
      <w:r w:rsidRPr="00C71F3A">
        <w:rPr>
          <w:color w:val="000000"/>
          <w:szCs w:val="22"/>
        </w:rPr>
      </w:r>
      <w:r w:rsidRPr="00C71F3A">
        <w:rPr>
          <w:color w:val="000000"/>
          <w:szCs w:val="22"/>
        </w:rPr>
        <w:fldChar w:fldCharType="separate"/>
      </w:r>
      <w:r w:rsidRPr="00C71F3A">
        <w:rPr>
          <w:color w:val="000000"/>
          <w:szCs w:val="22"/>
        </w:rPr>
        <w:t>96</w:t>
      </w:r>
      <w:r w:rsidRPr="00C71F3A">
        <w:rPr>
          <w:color w:val="000000"/>
          <w:szCs w:val="22"/>
        </w:rPr>
        <w:fldChar w:fldCharType="end"/>
      </w:r>
      <w:r>
        <w:rPr>
          <w:color w:val="000000"/>
          <w:szCs w:val="22"/>
        </w:rPr>
        <w:t>, at 9</w:t>
      </w:r>
      <w:r w:rsidRPr="00C71F3A">
        <w:rPr>
          <w:color w:val="000000"/>
          <w:szCs w:val="22"/>
        </w:rPr>
        <w:t xml:space="preserve">; </w:t>
      </w:r>
      <w:r w:rsidRPr="00E26603">
        <w:rPr>
          <w:i/>
          <w:color w:val="000000"/>
          <w:szCs w:val="22"/>
        </w:rPr>
        <w:t>Penix</w:t>
      </w:r>
      <w:r w:rsidRPr="00E26603">
        <w:rPr>
          <w:color w:val="000000"/>
          <w:szCs w:val="22"/>
        </w:rPr>
        <w:t>, 260 S.W.2d at 64–65.</w:t>
      </w:r>
    </w:p>
  </w:footnote>
  <w:footnote w:id="184">
    <w:p w14:paraId="7654CA70" w14:textId="5F552FFA"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C71F3A">
        <w:rPr>
          <w:color w:val="000000"/>
          <w:szCs w:val="22"/>
        </w:rPr>
        <w:t xml:space="preserve">Pacheco, </w:t>
      </w:r>
      <w:r w:rsidRPr="00C71F3A">
        <w:rPr>
          <w:i/>
          <w:iCs/>
          <w:color w:val="000000"/>
          <w:szCs w:val="22"/>
        </w:rPr>
        <w:t>supra</w:t>
      </w:r>
      <w:r w:rsidRPr="00C71F3A">
        <w:rPr>
          <w:color w:val="000000"/>
          <w:szCs w:val="22"/>
        </w:rPr>
        <w:t xml:space="preserve"> note </w:t>
      </w:r>
      <w:r w:rsidRPr="00C71F3A">
        <w:rPr>
          <w:color w:val="000000"/>
          <w:szCs w:val="22"/>
        </w:rPr>
        <w:fldChar w:fldCharType="begin"/>
      </w:r>
      <w:r w:rsidRPr="00C71F3A">
        <w:rPr>
          <w:color w:val="000000"/>
          <w:szCs w:val="22"/>
        </w:rPr>
        <w:instrText xml:space="preserve"> NOTEREF _Ref33805468 \h </w:instrText>
      </w:r>
      <w:r>
        <w:rPr>
          <w:color w:val="000000"/>
          <w:szCs w:val="22"/>
        </w:rPr>
        <w:instrText xml:space="preserve"> \* MERGEFORMAT </w:instrText>
      </w:r>
      <w:r w:rsidRPr="00C71F3A">
        <w:rPr>
          <w:color w:val="000000"/>
          <w:szCs w:val="22"/>
        </w:rPr>
      </w:r>
      <w:r w:rsidRPr="00C71F3A">
        <w:rPr>
          <w:color w:val="000000"/>
          <w:szCs w:val="22"/>
        </w:rPr>
        <w:fldChar w:fldCharType="separate"/>
      </w:r>
      <w:r w:rsidRPr="00C71F3A">
        <w:rPr>
          <w:color w:val="000000"/>
          <w:szCs w:val="22"/>
        </w:rPr>
        <w:t>96</w:t>
      </w:r>
      <w:r w:rsidRPr="00C71F3A">
        <w:rPr>
          <w:color w:val="000000"/>
          <w:szCs w:val="22"/>
        </w:rPr>
        <w:fldChar w:fldCharType="end"/>
      </w:r>
      <w:r>
        <w:rPr>
          <w:color w:val="000000"/>
          <w:szCs w:val="22"/>
        </w:rPr>
        <w:t>, at 9.</w:t>
      </w:r>
    </w:p>
  </w:footnote>
  <w:footnote w:id="185">
    <w:p w14:paraId="2DE71E3A" w14:textId="621E6E3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Id.</w:t>
      </w:r>
      <w:r w:rsidRPr="00E26603">
        <w:rPr>
          <w:color w:val="000000"/>
          <w:szCs w:val="22"/>
        </w:rPr>
        <w:t>.</w:t>
      </w:r>
    </w:p>
  </w:footnote>
  <w:footnote w:id="186">
    <w:p w14:paraId="167F7482" w14:textId="0ADF2E46"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sidRPr="00C71F3A">
        <w:rPr>
          <w:color w:val="000000"/>
          <w:szCs w:val="22"/>
        </w:rPr>
        <w:t xml:space="preserve">Pacheco, </w:t>
      </w:r>
      <w:r w:rsidRPr="00C71F3A">
        <w:rPr>
          <w:i/>
          <w:iCs/>
          <w:color w:val="000000"/>
          <w:szCs w:val="22"/>
        </w:rPr>
        <w:t>supra</w:t>
      </w:r>
      <w:r w:rsidRPr="00C71F3A">
        <w:rPr>
          <w:color w:val="000000"/>
          <w:szCs w:val="22"/>
        </w:rPr>
        <w:t xml:space="preserve"> note </w:t>
      </w:r>
      <w:r w:rsidRPr="00C71F3A">
        <w:rPr>
          <w:color w:val="000000"/>
          <w:szCs w:val="22"/>
        </w:rPr>
        <w:fldChar w:fldCharType="begin"/>
      </w:r>
      <w:r w:rsidRPr="00C71F3A">
        <w:rPr>
          <w:color w:val="000000"/>
          <w:szCs w:val="22"/>
        </w:rPr>
        <w:instrText xml:space="preserve"> NOTEREF _Ref33805468 \h </w:instrText>
      </w:r>
      <w:r>
        <w:rPr>
          <w:color w:val="000000"/>
          <w:szCs w:val="22"/>
        </w:rPr>
        <w:instrText xml:space="preserve"> \* MERGEFORMAT </w:instrText>
      </w:r>
      <w:r w:rsidRPr="00C71F3A">
        <w:rPr>
          <w:color w:val="000000"/>
          <w:szCs w:val="22"/>
        </w:rPr>
      </w:r>
      <w:r w:rsidRPr="00C71F3A">
        <w:rPr>
          <w:color w:val="000000"/>
          <w:szCs w:val="22"/>
        </w:rPr>
        <w:fldChar w:fldCharType="separate"/>
      </w:r>
      <w:r w:rsidRPr="00C71F3A">
        <w:rPr>
          <w:color w:val="000000"/>
          <w:szCs w:val="22"/>
        </w:rPr>
        <w:t>96</w:t>
      </w:r>
      <w:r w:rsidRPr="00C71F3A">
        <w:rPr>
          <w:color w:val="000000"/>
          <w:szCs w:val="22"/>
        </w:rPr>
        <w:fldChar w:fldCharType="end"/>
      </w:r>
      <w:r>
        <w:rPr>
          <w:color w:val="000000"/>
          <w:szCs w:val="22"/>
        </w:rPr>
        <w:t>, at 7–8.</w:t>
      </w:r>
    </w:p>
  </w:footnote>
  <w:footnote w:id="187">
    <w:p w14:paraId="32A5661C" w14:textId="0451BF6E" w:rsidR="0070346C" w:rsidRPr="0014127B" w:rsidRDefault="0070346C" w:rsidP="00561F7C">
      <w:pPr>
        <w:pStyle w:val="FootnoteText"/>
        <w:tabs>
          <w:tab w:val="clear" w:pos="600"/>
          <w:tab w:val="left" w:pos="605"/>
        </w:tabs>
        <w:spacing w:line="480" w:lineRule="auto"/>
        <w:rPr>
          <w:i/>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id.</w:t>
      </w:r>
    </w:p>
  </w:footnote>
  <w:footnote w:id="188">
    <w:p w14:paraId="0E4B1392" w14:textId="76A1C8FC"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id</w:t>
      </w:r>
      <w:r w:rsidRPr="00E26603">
        <w:rPr>
          <w:color w:val="000000"/>
          <w:szCs w:val="22"/>
        </w:rPr>
        <w:t>.</w:t>
      </w:r>
    </w:p>
  </w:footnote>
  <w:footnote w:id="189">
    <w:p w14:paraId="713A81E2" w14:textId="5057B7CF"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id.</w:t>
      </w:r>
    </w:p>
  </w:footnote>
  <w:footnote w:id="190">
    <w:p w14:paraId="6C959DA1" w14:textId="5033587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id</w:t>
      </w:r>
      <w:r w:rsidRPr="001D54E1">
        <w:rPr>
          <w:i/>
          <w:color w:val="000000"/>
          <w:szCs w:val="22"/>
        </w:rPr>
        <w:t>.</w:t>
      </w:r>
    </w:p>
  </w:footnote>
  <w:footnote w:id="191">
    <w:p w14:paraId="42CD244C" w14:textId="0B4EF106"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id.</w:t>
      </w:r>
    </w:p>
  </w:footnote>
  <w:footnote w:id="192">
    <w:p w14:paraId="52F6465C" w14:textId="6E892C1C"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id.</w:t>
      </w:r>
    </w:p>
  </w:footnote>
  <w:footnote w:id="193">
    <w:p w14:paraId="4CF60D97" w14:textId="6082EFCB"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id.</w:t>
      </w:r>
      <w:r>
        <w:rPr>
          <w:iCs/>
          <w:color w:val="000000"/>
          <w:szCs w:val="22"/>
        </w:rPr>
        <w:t>;</w:t>
      </w:r>
      <w:r>
        <w:rPr>
          <w:color w:val="000000"/>
          <w:szCs w:val="22"/>
        </w:rPr>
        <w:t xml:space="preserve"> </w:t>
      </w:r>
      <w:r w:rsidRPr="00E26603">
        <w:rPr>
          <w:color w:val="000000"/>
          <w:szCs w:val="22"/>
        </w:rPr>
        <w:t>Treas. Reg. § 25.2511-1(g)(2).</w:t>
      </w:r>
    </w:p>
  </w:footnote>
  <w:footnote w:id="194">
    <w:p w14:paraId="16742F5A" w14:textId="7325C01C"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sidRPr="00C71F3A">
        <w:rPr>
          <w:color w:val="000000"/>
          <w:szCs w:val="22"/>
        </w:rPr>
        <w:t xml:space="preserve">Pacheco, </w:t>
      </w:r>
      <w:r w:rsidRPr="00C71F3A">
        <w:rPr>
          <w:i/>
          <w:iCs/>
          <w:color w:val="000000"/>
          <w:szCs w:val="22"/>
        </w:rPr>
        <w:t>supra</w:t>
      </w:r>
      <w:r w:rsidRPr="00C71F3A">
        <w:rPr>
          <w:color w:val="000000"/>
          <w:szCs w:val="22"/>
        </w:rPr>
        <w:t xml:space="preserve"> note </w:t>
      </w:r>
      <w:r w:rsidRPr="00C71F3A">
        <w:rPr>
          <w:color w:val="000000"/>
          <w:szCs w:val="22"/>
        </w:rPr>
        <w:fldChar w:fldCharType="begin"/>
      </w:r>
      <w:r w:rsidRPr="00C71F3A">
        <w:rPr>
          <w:color w:val="000000"/>
          <w:szCs w:val="22"/>
        </w:rPr>
        <w:instrText xml:space="preserve"> NOTEREF _Ref33805468 \h </w:instrText>
      </w:r>
      <w:r>
        <w:rPr>
          <w:color w:val="000000"/>
          <w:szCs w:val="22"/>
        </w:rPr>
        <w:instrText xml:space="preserve"> \* MERGEFORMAT </w:instrText>
      </w:r>
      <w:r w:rsidRPr="00C71F3A">
        <w:rPr>
          <w:color w:val="000000"/>
          <w:szCs w:val="22"/>
        </w:rPr>
      </w:r>
      <w:r w:rsidRPr="00C71F3A">
        <w:rPr>
          <w:color w:val="000000"/>
          <w:szCs w:val="22"/>
        </w:rPr>
        <w:fldChar w:fldCharType="separate"/>
      </w:r>
      <w:r w:rsidRPr="00C71F3A">
        <w:rPr>
          <w:color w:val="000000"/>
          <w:szCs w:val="22"/>
        </w:rPr>
        <w:t>96</w:t>
      </w:r>
      <w:r w:rsidRPr="00C71F3A">
        <w:rPr>
          <w:color w:val="000000"/>
          <w:szCs w:val="22"/>
        </w:rPr>
        <w:fldChar w:fldCharType="end"/>
      </w:r>
      <w:r>
        <w:rPr>
          <w:color w:val="000000"/>
          <w:szCs w:val="22"/>
        </w:rPr>
        <w:t>, at 7–8.</w:t>
      </w:r>
      <w:r w:rsidRPr="00E26603">
        <w:rPr>
          <w:color w:val="000000"/>
          <w:szCs w:val="22"/>
        </w:rPr>
        <w:t>;</w:t>
      </w:r>
      <w:r>
        <w:rPr>
          <w:color w:val="000000"/>
          <w:szCs w:val="22"/>
        </w:rPr>
        <w:t xml:space="preserve"> </w:t>
      </w:r>
      <w:r w:rsidRPr="00E26603">
        <w:rPr>
          <w:color w:val="000000"/>
          <w:szCs w:val="22"/>
        </w:rPr>
        <w:t>Treas. Reg. § 1.674(b)-1(b)(5)(i)</w:t>
      </w:r>
      <w:r>
        <w:rPr>
          <w:color w:val="000000"/>
          <w:szCs w:val="22"/>
        </w:rPr>
        <w:t>.</w:t>
      </w:r>
    </w:p>
  </w:footnote>
  <w:footnote w:id="195">
    <w:p w14:paraId="02494CD7" w14:textId="2B11F9B3" w:rsidR="0070346C" w:rsidRPr="00E26603" w:rsidRDefault="0070346C" w:rsidP="00561F7C">
      <w:pPr>
        <w:pStyle w:val="FootnoteText"/>
        <w:tabs>
          <w:tab w:val="clear" w:pos="600"/>
          <w:tab w:val="left" w:pos="605"/>
        </w:tabs>
        <w:spacing w:line="480" w:lineRule="auto"/>
        <w:rPr>
          <w:i/>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C04B31">
        <w:rPr>
          <w:i/>
          <w:iCs/>
          <w:color w:val="000000"/>
          <w:szCs w:val="22"/>
        </w:rPr>
        <w:t xml:space="preserve"> </w:t>
      </w:r>
      <w:r>
        <w:rPr>
          <w:i/>
          <w:iCs/>
          <w:color w:val="000000"/>
          <w:szCs w:val="22"/>
        </w:rPr>
        <w:t xml:space="preserve">See </w:t>
      </w:r>
      <w:r w:rsidRPr="00C71F3A">
        <w:rPr>
          <w:color w:val="000000"/>
          <w:szCs w:val="22"/>
        </w:rPr>
        <w:t xml:space="preserve">Pacheco, </w:t>
      </w:r>
      <w:r w:rsidRPr="00C71F3A">
        <w:rPr>
          <w:i/>
          <w:iCs/>
          <w:color w:val="000000"/>
          <w:szCs w:val="22"/>
        </w:rPr>
        <w:t>supra</w:t>
      </w:r>
      <w:r w:rsidRPr="00C71F3A">
        <w:rPr>
          <w:color w:val="000000"/>
          <w:szCs w:val="22"/>
        </w:rPr>
        <w:t xml:space="preserve"> note </w:t>
      </w:r>
      <w:r w:rsidRPr="00C71F3A">
        <w:rPr>
          <w:color w:val="000000"/>
          <w:szCs w:val="22"/>
        </w:rPr>
        <w:fldChar w:fldCharType="begin"/>
      </w:r>
      <w:r w:rsidRPr="00C71F3A">
        <w:rPr>
          <w:color w:val="000000"/>
          <w:szCs w:val="22"/>
        </w:rPr>
        <w:instrText xml:space="preserve"> NOTEREF _Ref33805468 \h </w:instrText>
      </w:r>
      <w:r>
        <w:rPr>
          <w:color w:val="000000"/>
          <w:szCs w:val="22"/>
        </w:rPr>
        <w:instrText xml:space="preserve"> \* MERGEFORMAT </w:instrText>
      </w:r>
      <w:r w:rsidRPr="00C71F3A">
        <w:rPr>
          <w:color w:val="000000"/>
          <w:szCs w:val="22"/>
        </w:rPr>
      </w:r>
      <w:r w:rsidRPr="00C71F3A">
        <w:rPr>
          <w:color w:val="000000"/>
          <w:szCs w:val="22"/>
        </w:rPr>
        <w:fldChar w:fldCharType="separate"/>
      </w:r>
      <w:r w:rsidRPr="00C71F3A">
        <w:rPr>
          <w:color w:val="000000"/>
          <w:szCs w:val="22"/>
        </w:rPr>
        <w:t>96</w:t>
      </w:r>
      <w:r w:rsidRPr="00C71F3A">
        <w:rPr>
          <w:color w:val="000000"/>
          <w:szCs w:val="22"/>
        </w:rPr>
        <w:fldChar w:fldCharType="end"/>
      </w:r>
      <w:r>
        <w:rPr>
          <w:color w:val="000000"/>
          <w:szCs w:val="22"/>
        </w:rPr>
        <w:t>, at 7–8 (</w:t>
      </w:r>
      <w:r>
        <w:rPr>
          <w:i/>
        </w:rPr>
        <w:t>e</w:t>
      </w:r>
      <w:r w:rsidRPr="0059378C">
        <w:rPr>
          <w:i/>
        </w:rPr>
        <w:t>mphasis added.</w:t>
      </w:r>
      <w:r w:rsidRPr="0059378C">
        <w:rPr>
          <w:iCs/>
        </w:rPr>
        <w:t>)</w:t>
      </w:r>
      <w:r>
        <w:rPr>
          <w:iCs/>
        </w:rPr>
        <w:t>.</w:t>
      </w:r>
    </w:p>
  </w:footnote>
  <w:footnote w:id="196">
    <w:p w14:paraId="51158FF9" w14:textId="6BA52383" w:rsidR="0070346C" w:rsidRPr="00E26603" w:rsidRDefault="0070346C" w:rsidP="00561F7C">
      <w:pPr>
        <w:pStyle w:val="FootnoteText"/>
        <w:tabs>
          <w:tab w:val="clear" w:pos="600"/>
          <w:tab w:val="left" w:pos="605"/>
        </w:tabs>
        <w:spacing w:line="480" w:lineRule="auto"/>
        <w:rPr>
          <w:i/>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color w:val="000000"/>
          <w:szCs w:val="22"/>
        </w:rPr>
        <w:t>See i</w:t>
      </w:r>
      <w:r w:rsidRPr="00E26603">
        <w:rPr>
          <w:i/>
          <w:color w:val="000000"/>
          <w:szCs w:val="22"/>
        </w:rPr>
        <w:t>d.</w:t>
      </w:r>
    </w:p>
  </w:footnote>
  <w:footnote w:id="197">
    <w:p w14:paraId="43412252" w14:textId="5DDF119E"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1D54E1">
        <w:rPr>
          <w:i/>
          <w:iCs/>
          <w:color w:val="000000"/>
          <w:szCs w:val="22"/>
        </w:rPr>
        <w:t>See id</w:t>
      </w:r>
      <w:r w:rsidRPr="001D54E1">
        <w:rPr>
          <w:i/>
          <w:color w:val="000000"/>
          <w:szCs w:val="22"/>
        </w:rPr>
        <w:t>.</w:t>
      </w:r>
    </w:p>
  </w:footnote>
  <w:footnote w:id="198">
    <w:p w14:paraId="34CE6C9F" w14:textId="27CF004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sidRPr="00C71F3A">
        <w:rPr>
          <w:color w:val="000000"/>
          <w:szCs w:val="22"/>
        </w:rPr>
        <w:t xml:space="preserve">Pacheco, </w:t>
      </w:r>
      <w:r w:rsidRPr="00C71F3A">
        <w:rPr>
          <w:i/>
          <w:iCs/>
          <w:color w:val="000000"/>
          <w:szCs w:val="22"/>
        </w:rPr>
        <w:t>supra</w:t>
      </w:r>
      <w:r w:rsidRPr="00C71F3A">
        <w:rPr>
          <w:color w:val="000000"/>
          <w:szCs w:val="22"/>
        </w:rPr>
        <w:t xml:space="preserve"> note </w:t>
      </w:r>
      <w:r w:rsidRPr="00C71F3A">
        <w:rPr>
          <w:color w:val="000000"/>
          <w:szCs w:val="22"/>
        </w:rPr>
        <w:fldChar w:fldCharType="begin"/>
      </w:r>
      <w:r w:rsidRPr="00C71F3A">
        <w:rPr>
          <w:color w:val="000000"/>
          <w:szCs w:val="22"/>
        </w:rPr>
        <w:instrText xml:space="preserve"> NOTEREF _Ref33805468 \h </w:instrText>
      </w:r>
      <w:r>
        <w:rPr>
          <w:color w:val="000000"/>
          <w:szCs w:val="22"/>
        </w:rPr>
        <w:instrText xml:space="preserve"> \* MERGEFORMAT </w:instrText>
      </w:r>
      <w:r w:rsidRPr="00C71F3A">
        <w:rPr>
          <w:color w:val="000000"/>
          <w:szCs w:val="22"/>
        </w:rPr>
      </w:r>
      <w:r w:rsidRPr="00C71F3A">
        <w:rPr>
          <w:color w:val="000000"/>
          <w:szCs w:val="22"/>
        </w:rPr>
        <w:fldChar w:fldCharType="separate"/>
      </w:r>
      <w:r w:rsidRPr="00C71F3A">
        <w:rPr>
          <w:color w:val="000000"/>
          <w:szCs w:val="22"/>
        </w:rPr>
        <w:t>96</w:t>
      </w:r>
      <w:r w:rsidRPr="00C71F3A">
        <w:rPr>
          <w:color w:val="000000"/>
          <w:szCs w:val="22"/>
        </w:rPr>
        <w:fldChar w:fldCharType="end"/>
      </w:r>
      <w:r>
        <w:rPr>
          <w:color w:val="000000"/>
          <w:szCs w:val="22"/>
        </w:rPr>
        <w:t>, at 7–8;</w:t>
      </w:r>
      <w:r w:rsidRPr="00E26603" w:rsidDel="00C04B31">
        <w:rPr>
          <w:color w:val="000000"/>
          <w:szCs w:val="22"/>
        </w:rPr>
        <w:t xml:space="preserve"> </w:t>
      </w:r>
      <w:r w:rsidRPr="00E26603">
        <w:rPr>
          <w:color w:val="000000"/>
          <w:szCs w:val="22"/>
        </w:rPr>
        <w:t>Treas. Reg. § 20.2041-1(c)(1</w:t>
      </w:r>
      <w:r>
        <w:rPr>
          <w:color w:val="000000"/>
          <w:szCs w:val="22"/>
        </w:rPr>
        <w:t>).</w:t>
      </w:r>
    </w:p>
  </w:footnote>
  <w:footnote w:id="199">
    <w:p w14:paraId="6E29D884" w14:textId="0106BFBB"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sidRPr="00C71F3A">
        <w:rPr>
          <w:color w:val="000000"/>
          <w:szCs w:val="22"/>
        </w:rPr>
        <w:t xml:space="preserve">Pacheco, </w:t>
      </w:r>
      <w:r w:rsidRPr="00C71F3A">
        <w:rPr>
          <w:i/>
          <w:iCs/>
          <w:color w:val="000000"/>
          <w:szCs w:val="22"/>
        </w:rPr>
        <w:t>supra</w:t>
      </w:r>
      <w:r w:rsidRPr="00C71F3A">
        <w:rPr>
          <w:color w:val="000000"/>
          <w:szCs w:val="22"/>
        </w:rPr>
        <w:t xml:space="preserve"> note </w:t>
      </w:r>
      <w:r w:rsidRPr="00C71F3A">
        <w:rPr>
          <w:color w:val="000000"/>
          <w:szCs w:val="22"/>
        </w:rPr>
        <w:fldChar w:fldCharType="begin"/>
      </w:r>
      <w:r w:rsidRPr="00C71F3A">
        <w:rPr>
          <w:color w:val="000000"/>
          <w:szCs w:val="22"/>
        </w:rPr>
        <w:instrText xml:space="preserve"> NOTEREF _Ref33805468 \h </w:instrText>
      </w:r>
      <w:r>
        <w:rPr>
          <w:color w:val="000000"/>
          <w:szCs w:val="22"/>
        </w:rPr>
        <w:instrText xml:space="preserve"> \* MERGEFORMAT </w:instrText>
      </w:r>
      <w:r w:rsidRPr="00C71F3A">
        <w:rPr>
          <w:color w:val="000000"/>
          <w:szCs w:val="22"/>
        </w:rPr>
      </w:r>
      <w:r w:rsidRPr="00C71F3A">
        <w:rPr>
          <w:color w:val="000000"/>
          <w:szCs w:val="22"/>
        </w:rPr>
        <w:fldChar w:fldCharType="separate"/>
      </w:r>
      <w:r w:rsidRPr="00C71F3A">
        <w:rPr>
          <w:color w:val="000000"/>
          <w:szCs w:val="22"/>
        </w:rPr>
        <w:t>96</w:t>
      </w:r>
      <w:r w:rsidRPr="00C71F3A">
        <w:rPr>
          <w:color w:val="000000"/>
          <w:szCs w:val="22"/>
        </w:rPr>
        <w:fldChar w:fldCharType="end"/>
      </w:r>
      <w:r>
        <w:rPr>
          <w:color w:val="000000"/>
          <w:szCs w:val="22"/>
        </w:rPr>
        <w:t>, at 7–8.</w:t>
      </w:r>
    </w:p>
  </w:footnote>
  <w:footnote w:id="200">
    <w:p w14:paraId="5664281A" w14:textId="07229FBE"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Id.</w:t>
      </w:r>
      <w:r>
        <w:rPr>
          <w:color w:val="000000"/>
          <w:szCs w:val="22"/>
        </w:rPr>
        <w:t xml:space="preserve"> At 8; </w:t>
      </w:r>
      <w:r w:rsidRPr="00E26603">
        <w:rPr>
          <w:color w:val="000000"/>
          <w:szCs w:val="22"/>
        </w:rPr>
        <w:t>I.R.C. § 674(b)(5)(A).</w:t>
      </w:r>
    </w:p>
  </w:footnote>
  <w:footnote w:id="201">
    <w:p w14:paraId="5B6359DD" w14:textId="7AF6155D"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sidRPr="00C71F3A">
        <w:rPr>
          <w:color w:val="000000"/>
          <w:szCs w:val="22"/>
        </w:rPr>
        <w:t xml:space="preserve">Pacheco, </w:t>
      </w:r>
      <w:r w:rsidRPr="00C71F3A">
        <w:rPr>
          <w:i/>
          <w:iCs/>
          <w:color w:val="000000"/>
          <w:szCs w:val="22"/>
        </w:rPr>
        <w:t>supra</w:t>
      </w:r>
      <w:r w:rsidRPr="00C71F3A">
        <w:rPr>
          <w:color w:val="000000"/>
          <w:szCs w:val="22"/>
        </w:rPr>
        <w:t xml:space="preserve"> note </w:t>
      </w:r>
      <w:r w:rsidRPr="00C71F3A">
        <w:rPr>
          <w:color w:val="000000"/>
          <w:szCs w:val="22"/>
        </w:rPr>
        <w:fldChar w:fldCharType="begin"/>
      </w:r>
      <w:r w:rsidRPr="00C71F3A">
        <w:rPr>
          <w:color w:val="000000"/>
          <w:szCs w:val="22"/>
        </w:rPr>
        <w:instrText xml:space="preserve"> NOTEREF _Ref33805468 \h </w:instrText>
      </w:r>
      <w:r>
        <w:rPr>
          <w:color w:val="000000"/>
          <w:szCs w:val="22"/>
        </w:rPr>
        <w:instrText xml:space="preserve"> \* MERGEFORMAT </w:instrText>
      </w:r>
      <w:r w:rsidRPr="00C71F3A">
        <w:rPr>
          <w:color w:val="000000"/>
          <w:szCs w:val="22"/>
        </w:rPr>
      </w:r>
      <w:r w:rsidRPr="00C71F3A">
        <w:rPr>
          <w:color w:val="000000"/>
          <w:szCs w:val="22"/>
        </w:rPr>
        <w:fldChar w:fldCharType="separate"/>
      </w:r>
      <w:r w:rsidRPr="00C71F3A">
        <w:rPr>
          <w:color w:val="000000"/>
          <w:szCs w:val="22"/>
        </w:rPr>
        <w:t>96</w:t>
      </w:r>
      <w:r w:rsidRPr="00C71F3A">
        <w:rPr>
          <w:color w:val="000000"/>
          <w:szCs w:val="22"/>
        </w:rPr>
        <w:fldChar w:fldCharType="end"/>
      </w:r>
      <w:r>
        <w:rPr>
          <w:color w:val="000000"/>
          <w:szCs w:val="22"/>
        </w:rPr>
        <w:t xml:space="preserve">, at 8; </w:t>
      </w:r>
      <w:r w:rsidRPr="00E26603">
        <w:rPr>
          <w:color w:val="000000"/>
          <w:szCs w:val="22"/>
        </w:rPr>
        <w:t>Treas. Reg. § 1.674(b)</w:t>
      </w:r>
      <w:r>
        <w:rPr>
          <w:color w:val="000000"/>
          <w:szCs w:val="22"/>
        </w:rPr>
        <w:t>–</w:t>
      </w:r>
      <w:r w:rsidRPr="00E26603">
        <w:rPr>
          <w:color w:val="000000"/>
          <w:szCs w:val="22"/>
        </w:rPr>
        <w:t>1(b)(5)(i).</w:t>
      </w:r>
    </w:p>
  </w:footnote>
  <w:footnote w:id="202">
    <w:p w14:paraId="0D7B6D1F" w14:textId="0EC4BF40"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color w:val="000000"/>
          <w:szCs w:val="22"/>
        </w:rPr>
        <w:t>Author’s Original Opinion.</w:t>
      </w:r>
    </w:p>
  </w:footnote>
  <w:footnote w:id="203">
    <w:p w14:paraId="5315FF13" w14:textId="1AC0757F"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1D54E1">
        <w:rPr>
          <w:i/>
          <w:iCs/>
          <w:color w:val="000000"/>
          <w:szCs w:val="22"/>
        </w:rPr>
        <w:t>Id</w:t>
      </w:r>
      <w:r w:rsidRPr="001D54E1">
        <w:rPr>
          <w:i/>
          <w:color w:val="000000"/>
          <w:szCs w:val="22"/>
        </w:rPr>
        <w:t>.</w:t>
      </w:r>
    </w:p>
  </w:footnote>
  <w:footnote w:id="204">
    <w:p w14:paraId="0DE75A51" w14:textId="4D9E85F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smallCaps/>
          <w:color w:val="000000"/>
          <w:szCs w:val="22"/>
        </w:rPr>
        <w:t xml:space="preserve">Tex. </w:t>
      </w:r>
      <w:r>
        <w:rPr>
          <w:smallCaps/>
          <w:color w:val="000000"/>
          <w:szCs w:val="22"/>
        </w:rPr>
        <w:t>Prop.</w:t>
      </w:r>
      <w:r w:rsidRPr="00E26603">
        <w:rPr>
          <w:smallCaps/>
          <w:color w:val="000000"/>
          <w:szCs w:val="22"/>
        </w:rPr>
        <w:t xml:space="preserve"> Code Ann.</w:t>
      </w:r>
      <w:r w:rsidRPr="00E26603">
        <w:rPr>
          <w:color w:val="000000"/>
          <w:szCs w:val="22"/>
        </w:rPr>
        <w:t xml:space="preserve"> § 112.035.</w:t>
      </w:r>
    </w:p>
  </w:footnote>
  <w:footnote w:id="205">
    <w:p w14:paraId="7F8083CE" w14:textId="256E0AAD" w:rsidR="0070346C" w:rsidRPr="0014127B" w:rsidRDefault="0070346C" w:rsidP="00561F7C">
      <w:pPr>
        <w:pStyle w:val="FootnoteText"/>
        <w:tabs>
          <w:tab w:val="clear" w:pos="600"/>
          <w:tab w:val="left" w:pos="605"/>
        </w:tabs>
        <w:spacing w:line="480" w:lineRule="auto"/>
        <w:rPr>
          <w:i/>
          <w:color w:val="000000"/>
          <w:szCs w:val="22"/>
        </w:rPr>
      </w:pPr>
      <w:r w:rsidRPr="0014127B">
        <w:rPr>
          <w:color w:val="000000"/>
          <w:szCs w:val="22"/>
        </w:rPr>
        <w:tab/>
      </w:r>
      <w:r w:rsidRPr="00E26603">
        <w:rPr>
          <w:rStyle w:val="FootnoteReference"/>
          <w:color w:val="000000"/>
          <w:sz w:val="16"/>
          <w:szCs w:val="22"/>
          <w:vertAlign w:val="baseline"/>
        </w:rPr>
        <w:footnoteRef/>
      </w:r>
      <w:r w:rsidRPr="0014127B">
        <w:rPr>
          <w:color w:val="000000"/>
          <w:szCs w:val="22"/>
        </w:rPr>
        <w:t>.</w:t>
      </w:r>
      <w:r w:rsidRPr="0014127B">
        <w:rPr>
          <w:color w:val="000000"/>
          <w:szCs w:val="22"/>
        </w:rPr>
        <w:tab/>
      </w:r>
      <w:r w:rsidRPr="001D54E1">
        <w:rPr>
          <w:i/>
          <w:iCs/>
          <w:color w:val="000000"/>
          <w:szCs w:val="22"/>
        </w:rPr>
        <w:t>See id</w:t>
      </w:r>
      <w:r w:rsidRPr="001D54E1">
        <w:rPr>
          <w:i/>
          <w:color w:val="000000"/>
          <w:szCs w:val="22"/>
        </w:rPr>
        <w:t>.</w:t>
      </w:r>
      <w:r>
        <w:rPr>
          <w:i/>
          <w:color w:val="000000"/>
          <w:szCs w:val="22"/>
        </w:rPr>
        <w:t xml:space="preserve"> </w:t>
      </w:r>
      <w:r w:rsidRPr="0014127B">
        <w:rPr>
          <w:color w:val="000000"/>
          <w:szCs w:val="22"/>
        </w:rPr>
        <w:t>§ 112.035(b).</w:t>
      </w:r>
    </w:p>
  </w:footnote>
  <w:footnote w:id="206">
    <w:p w14:paraId="004D6063" w14:textId="4ECB0C3B"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1D54E1">
        <w:rPr>
          <w:i/>
          <w:iCs/>
          <w:color w:val="000000"/>
          <w:szCs w:val="22"/>
        </w:rPr>
        <w:t xml:space="preserve">See </w:t>
      </w:r>
      <w:r w:rsidRPr="001D54E1">
        <w:rPr>
          <w:i/>
          <w:iCs/>
          <w:color w:val="000000"/>
          <w:szCs w:val="22"/>
        </w:rPr>
        <w:t>id</w:t>
      </w:r>
      <w:r w:rsidRPr="001D54E1">
        <w:rPr>
          <w:i/>
          <w:color w:val="000000"/>
          <w:szCs w:val="22"/>
        </w:rPr>
        <w:t>.</w:t>
      </w:r>
      <w:r w:rsidRPr="0014127B">
        <w:rPr>
          <w:color w:val="000000"/>
          <w:szCs w:val="22"/>
        </w:rPr>
        <w:t xml:space="preserve">§ </w:t>
      </w:r>
      <w:r w:rsidRPr="00E26603">
        <w:rPr>
          <w:smallCaps/>
          <w:color w:val="000000"/>
          <w:szCs w:val="22"/>
        </w:rPr>
        <w:t>113.029(</w:t>
      </w:r>
      <w:r w:rsidRPr="00E26603">
        <w:rPr>
          <w:color w:val="000000"/>
          <w:szCs w:val="22"/>
        </w:rPr>
        <w:t>b</w:t>
      </w:r>
      <w:r w:rsidRPr="00E26603">
        <w:rPr>
          <w:smallCaps/>
          <w:color w:val="000000"/>
          <w:szCs w:val="22"/>
        </w:rPr>
        <w:t>).</w:t>
      </w:r>
    </w:p>
  </w:footnote>
  <w:footnote w:id="207">
    <w:p w14:paraId="337774D5" w14:textId="6627A9D6"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1D54E1">
        <w:rPr>
          <w:i/>
          <w:iCs/>
          <w:color w:val="000000"/>
          <w:szCs w:val="22"/>
        </w:rPr>
        <w:t>See id</w:t>
      </w:r>
      <w:r w:rsidRPr="00E26603">
        <w:rPr>
          <w:smallCaps/>
          <w:color w:val="000000"/>
          <w:szCs w:val="22"/>
        </w:rPr>
        <w:t>.</w:t>
      </w:r>
    </w:p>
  </w:footnote>
  <w:footnote w:id="208">
    <w:p w14:paraId="08C9D212" w14:textId="6606B355" w:rsidR="0070346C" w:rsidRPr="00F60A78" w:rsidRDefault="0070346C" w:rsidP="00561F7C">
      <w:pPr>
        <w:pStyle w:val="FootnoteText"/>
        <w:tabs>
          <w:tab w:val="clear" w:pos="600"/>
          <w:tab w:val="left" w:pos="605"/>
        </w:tabs>
        <w:spacing w:line="480" w:lineRule="auto"/>
        <w:rPr>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color w:val="000000"/>
          <w:szCs w:val="22"/>
        </w:rPr>
        <w:t>See id.</w:t>
      </w:r>
      <w:r>
        <w:rPr>
          <w:iCs/>
          <w:color w:val="000000"/>
          <w:szCs w:val="22"/>
        </w:rPr>
        <w:t xml:space="preserve"> </w:t>
      </w:r>
      <w:r w:rsidRPr="00E26603">
        <w:rPr>
          <w:color w:val="000000"/>
          <w:szCs w:val="22"/>
        </w:rPr>
        <w:t>§ 113.029</w:t>
      </w:r>
      <w:r>
        <w:rPr>
          <w:color w:val="000000"/>
          <w:szCs w:val="22"/>
        </w:rPr>
        <w:t>(d).</w:t>
      </w:r>
    </w:p>
  </w:footnote>
  <w:footnote w:id="209">
    <w:p w14:paraId="418CB15D" w14:textId="72ABD83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1D54E1">
        <w:rPr>
          <w:i/>
          <w:iCs/>
          <w:color w:val="000000"/>
          <w:szCs w:val="22"/>
        </w:rPr>
        <w:t>See id</w:t>
      </w:r>
      <w:r w:rsidRPr="001D54E1">
        <w:rPr>
          <w:i/>
          <w:color w:val="000000"/>
          <w:szCs w:val="22"/>
        </w:rPr>
        <w:t>.</w:t>
      </w:r>
      <w:r>
        <w:rPr>
          <w:i/>
          <w:color w:val="000000"/>
          <w:szCs w:val="22"/>
        </w:rPr>
        <w:t xml:space="preserve"> </w:t>
      </w:r>
      <w:r w:rsidRPr="00E26603">
        <w:rPr>
          <w:color w:val="000000"/>
          <w:szCs w:val="22"/>
        </w:rPr>
        <w:t>§ 11</w:t>
      </w:r>
      <w:r>
        <w:rPr>
          <w:color w:val="000000"/>
          <w:szCs w:val="22"/>
        </w:rPr>
        <w:t>2</w:t>
      </w:r>
      <w:r w:rsidRPr="00E26603">
        <w:rPr>
          <w:color w:val="000000"/>
          <w:szCs w:val="22"/>
        </w:rPr>
        <w:t>.035(d); Tex. H.B. 564, 80th Leg., R.S. (2007).</w:t>
      </w:r>
    </w:p>
  </w:footnote>
  <w:footnote w:id="210">
    <w:p w14:paraId="4D7D18CC" w14:textId="30C73A4A"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1D54E1">
        <w:rPr>
          <w:i/>
          <w:iCs/>
          <w:color w:val="000000"/>
          <w:szCs w:val="22"/>
        </w:rPr>
        <w:t>See id</w:t>
      </w:r>
      <w:r w:rsidRPr="001D54E1">
        <w:rPr>
          <w:i/>
          <w:color w:val="000000"/>
          <w:szCs w:val="22"/>
        </w:rPr>
        <w:t>.</w:t>
      </w:r>
      <w:r>
        <w:rPr>
          <w:i/>
          <w:color w:val="000000"/>
          <w:szCs w:val="22"/>
        </w:rPr>
        <w:t xml:space="preserve"> </w:t>
      </w:r>
      <w:r w:rsidRPr="00E26603">
        <w:rPr>
          <w:color w:val="000000"/>
          <w:szCs w:val="22"/>
        </w:rPr>
        <w:t xml:space="preserve"> § 112.035</w:t>
      </w:r>
      <w:r>
        <w:rPr>
          <w:color w:val="000000"/>
          <w:szCs w:val="22"/>
        </w:rPr>
        <w:t xml:space="preserve">; </w:t>
      </w:r>
      <w:r>
        <w:rPr>
          <w:i/>
          <w:iCs/>
          <w:color w:val="000000"/>
          <w:szCs w:val="22"/>
        </w:rPr>
        <w:t xml:space="preserve">see </w:t>
      </w:r>
      <w:r>
        <w:rPr>
          <w:color w:val="000000"/>
          <w:szCs w:val="22"/>
        </w:rPr>
        <w:t xml:space="preserve">Burdette, </w:t>
      </w:r>
      <w:r>
        <w:rPr>
          <w:i/>
          <w:iCs/>
          <w:color w:val="000000"/>
          <w:szCs w:val="22"/>
        </w:rPr>
        <w:t>supra</w:t>
      </w:r>
      <w:r>
        <w:rPr>
          <w:color w:val="000000"/>
          <w:szCs w:val="22"/>
        </w:rPr>
        <w:t xml:space="preserve"> note </w:t>
      </w:r>
      <w:r>
        <w:rPr>
          <w:color w:val="000000"/>
          <w:szCs w:val="22"/>
        </w:rPr>
        <w:fldChar w:fldCharType="begin"/>
      </w:r>
      <w:r>
        <w:rPr>
          <w:color w:val="000000"/>
          <w:szCs w:val="22"/>
        </w:rPr>
        <w:instrText xml:space="preserve"> NOTEREF _Ref33804856 \h </w:instrText>
      </w:r>
      <w:r>
        <w:rPr>
          <w:color w:val="000000"/>
          <w:szCs w:val="22"/>
        </w:rPr>
      </w:r>
      <w:r>
        <w:rPr>
          <w:color w:val="000000"/>
          <w:szCs w:val="22"/>
        </w:rPr>
        <w:fldChar w:fldCharType="separate"/>
      </w:r>
      <w:r>
        <w:rPr>
          <w:color w:val="000000"/>
          <w:szCs w:val="22"/>
        </w:rPr>
        <w:t>71</w:t>
      </w:r>
      <w:r>
        <w:rPr>
          <w:color w:val="000000"/>
          <w:szCs w:val="22"/>
        </w:rPr>
        <w:fldChar w:fldCharType="end"/>
      </w:r>
      <w:r>
        <w:rPr>
          <w:color w:val="000000"/>
          <w:szCs w:val="22"/>
        </w:rPr>
        <w:t>.</w:t>
      </w:r>
    </w:p>
  </w:footnote>
  <w:footnote w:id="211">
    <w:p w14:paraId="532D260C" w14:textId="4AE70713"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Pr>
          <w:color w:val="000000"/>
          <w:szCs w:val="22"/>
        </w:rPr>
        <w:t xml:space="preserve">Burdette, </w:t>
      </w:r>
      <w:r>
        <w:rPr>
          <w:i/>
          <w:iCs/>
          <w:color w:val="000000"/>
          <w:szCs w:val="22"/>
        </w:rPr>
        <w:t>supra</w:t>
      </w:r>
      <w:r>
        <w:rPr>
          <w:color w:val="000000"/>
          <w:szCs w:val="22"/>
        </w:rPr>
        <w:t xml:space="preserve"> note </w:t>
      </w:r>
      <w:r>
        <w:rPr>
          <w:color w:val="000000"/>
          <w:szCs w:val="22"/>
        </w:rPr>
        <w:fldChar w:fldCharType="begin"/>
      </w:r>
      <w:r>
        <w:rPr>
          <w:color w:val="000000"/>
          <w:szCs w:val="22"/>
        </w:rPr>
        <w:instrText xml:space="preserve"> NOTEREF _Ref33804856 \h </w:instrText>
      </w:r>
      <w:r>
        <w:rPr>
          <w:color w:val="000000"/>
          <w:szCs w:val="22"/>
        </w:rPr>
      </w:r>
      <w:r>
        <w:rPr>
          <w:color w:val="000000"/>
          <w:szCs w:val="22"/>
        </w:rPr>
        <w:fldChar w:fldCharType="separate"/>
      </w:r>
      <w:r>
        <w:rPr>
          <w:color w:val="000000"/>
          <w:szCs w:val="22"/>
        </w:rPr>
        <w:t>71</w:t>
      </w:r>
      <w:r>
        <w:rPr>
          <w:color w:val="000000"/>
          <w:szCs w:val="22"/>
        </w:rPr>
        <w:fldChar w:fldCharType="end"/>
      </w:r>
      <w:r>
        <w:rPr>
          <w:color w:val="000000"/>
          <w:szCs w:val="22"/>
        </w:rPr>
        <w:t xml:space="preserve">; </w:t>
      </w:r>
      <w:r w:rsidRPr="00E26603">
        <w:rPr>
          <w:i/>
          <w:iCs/>
          <w:color w:val="000000"/>
          <w:szCs w:val="22"/>
        </w:rPr>
        <w:t>See generally</w:t>
      </w:r>
      <w:r w:rsidRPr="00E26603">
        <w:rPr>
          <w:color w:val="000000"/>
          <w:szCs w:val="22"/>
        </w:rPr>
        <w:t>, SkyPark Aviation v. Lind</w:t>
      </w:r>
      <w:r>
        <w:rPr>
          <w:color w:val="000000"/>
          <w:szCs w:val="22"/>
        </w:rPr>
        <w:t>, 523 S.W.3d 869 (Tex. App.—Eastland 2017)</w:t>
      </w:r>
      <w:r w:rsidRPr="00E26603">
        <w:rPr>
          <w:color w:val="000000"/>
          <w:szCs w:val="22"/>
        </w:rPr>
        <w:t xml:space="preserve"> (explaining that secondary sources are treated as persuasive authority by courts).</w:t>
      </w:r>
    </w:p>
  </w:footnote>
  <w:footnote w:id="212">
    <w:p w14:paraId="06196F55" w14:textId="29575DC5"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color w:val="000000"/>
          <w:szCs w:val="22"/>
        </w:rPr>
        <w:t xml:space="preserve">Kenneth Kingma, </w:t>
      </w:r>
      <w:r w:rsidRPr="00E26603">
        <w:rPr>
          <w:i/>
          <w:iCs/>
          <w:color w:val="000000"/>
          <w:szCs w:val="22"/>
        </w:rPr>
        <w:t>A Beneficiary Serving as Trustee May Affect Asset Protection</w:t>
      </w:r>
      <w:r w:rsidRPr="00E26603">
        <w:rPr>
          <w:color w:val="000000"/>
          <w:szCs w:val="22"/>
        </w:rPr>
        <w:t xml:space="preserve">, </w:t>
      </w:r>
      <w:r w:rsidRPr="00E26603">
        <w:rPr>
          <w:smallCaps/>
          <w:color w:val="000000"/>
          <w:szCs w:val="22"/>
        </w:rPr>
        <w:t>Lexology</w:t>
      </w:r>
      <w:r w:rsidRPr="00E26603">
        <w:rPr>
          <w:color w:val="000000"/>
          <w:szCs w:val="22"/>
        </w:rPr>
        <w:t xml:space="preserve"> (Apr</w:t>
      </w:r>
      <w:r>
        <w:rPr>
          <w:color w:val="000000"/>
          <w:szCs w:val="22"/>
        </w:rPr>
        <w:t>.</w:t>
      </w:r>
      <w:r w:rsidRPr="00E26603">
        <w:rPr>
          <w:color w:val="000000"/>
          <w:szCs w:val="22"/>
        </w:rPr>
        <w:t xml:space="preserve"> 2011), </w:t>
      </w:r>
      <w:r w:rsidRPr="0014127B">
        <w:rPr>
          <w:color w:val="000000"/>
        </w:rPr>
        <w:t>http://www.lexology.com/librarydetail.aspx?g=7f98167d-1132-4ecb-9283-ce0d6bf78e9f</w:t>
      </w:r>
      <w:r>
        <w:rPr>
          <w:color w:val="000000"/>
          <w:szCs w:val="22"/>
        </w:rPr>
        <w:t xml:space="preserve"> [perma.cc/6ZNG-25RS].</w:t>
      </w:r>
    </w:p>
  </w:footnote>
  <w:footnote w:id="213">
    <w:p w14:paraId="18D0C29C" w14:textId="7BF13C06"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smallCaps/>
          <w:color w:val="000000"/>
          <w:szCs w:val="22"/>
        </w:rPr>
        <w:t>Restatement (Third) of Trust</w:t>
      </w:r>
      <w:r>
        <w:rPr>
          <w:color w:val="000000"/>
          <w:szCs w:val="22"/>
        </w:rPr>
        <w:t xml:space="preserve">s: </w:t>
      </w:r>
      <w:r w:rsidRPr="0014127B">
        <w:rPr>
          <w:smallCaps/>
          <w:color w:val="000000"/>
          <w:szCs w:val="22"/>
        </w:rPr>
        <w:t>Transfer of Attachment of Discretionary Interests</w:t>
      </w:r>
      <w:r w:rsidRPr="00E26603">
        <w:rPr>
          <w:color w:val="000000"/>
          <w:szCs w:val="22"/>
        </w:rPr>
        <w:t xml:space="preserve"> § 60, cmt. g</w:t>
      </w:r>
      <w:r>
        <w:rPr>
          <w:color w:val="000000"/>
          <w:szCs w:val="22"/>
        </w:rPr>
        <w:t xml:space="preserve"> (</w:t>
      </w:r>
      <w:r w:rsidRPr="0014127B">
        <w:rPr>
          <w:smallCaps/>
          <w:color w:val="000000"/>
          <w:szCs w:val="22"/>
        </w:rPr>
        <w:t>Am. Law. Inst</w:t>
      </w:r>
      <w:r>
        <w:rPr>
          <w:color w:val="000000"/>
          <w:szCs w:val="22"/>
        </w:rPr>
        <w:t>. 2003)</w:t>
      </w:r>
      <w:r w:rsidRPr="00E26603">
        <w:rPr>
          <w:color w:val="000000"/>
          <w:szCs w:val="22"/>
        </w:rPr>
        <w:t>.</w:t>
      </w:r>
    </w:p>
  </w:footnote>
  <w:footnote w:id="214">
    <w:p w14:paraId="1BC68D07" w14:textId="7098B620"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smallCaps/>
          <w:color w:val="000000"/>
          <w:szCs w:val="22"/>
        </w:rPr>
        <w:t>Unif. Trust Code</w:t>
      </w:r>
      <w:r w:rsidRPr="00E26603">
        <w:rPr>
          <w:color w:val="000000"/>
          <w:szCs w:val="22"/>
        </w:rPr>
        <w:t xml:space="preserve"> §</w:t>
      </w:r>
      <w:r>
        <w:rPr>
          <w:color w:val="000000"/>
          <w:szCs w:val="22"/>
        </w:rPr>
        <w:t xml:space="preserve"> </w:t>
      </w:r>
      <w:r w:rsidRPr="00E26603">
        <w:rPr>
          <w:color w:val="000000"/>
          <w:szCs w:val="22"/>
        </w:rPr>
        <w:t>504(e)</w:t>
      </w:r>
      <w:r>
        <w:rPr>
          <w:color w:val="000000"/>
          <w:szCs w:val="22"/>
        </w:rPr>
        <w:t xml:space="preserve"> (</w:t>
      </w:r>
      <w:r>
        <w:rPr>
          <w:i/>
          <w:iCs/>
          <w:color w:val="000000"/>
          <w:szCs w:val="22"/>
        </w:rPr>
        <w:t>emphasis added</w:t>
      </w:r>
      <w:r>
        <w:rPr>
          <w:color w:val="000000"/>
          <w:szCs w:val="22"/>
        </w:rPr>
        <w:t>).</w:t>
      </w:r>
    </w:p>
  </w:footnote>
  <w:footnote w:id="215">
    <w:p w14:paraId="2B1CFB6B" w14:textId="3A43FAF2"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1D54E1">
        <w:rPr>
          <w:i/>
          <w:iCs/>
          <w:color w:val="000000"/>
          <w:szCs w:val="22"/>
        </w:rPr>
        <w:t>See id</w:t>
      </w:r>
      <w:r w:rsidRPr="001D54E1">
        <w:rPr>
          <w:i/>
          <w:color w:val="000000"/>
          <w:szCs w:val="22"/>
        </w:rPr>
        <w:t>.</w:t>
      </w:r>
    </w:p>
  </w:footnote>
  <w:footnote w:id="216">
    <w:p w14:paraId="11E6025A" w14:textId="067C3B6B"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sidRPr="001D54E1">
        <w:rPr>
          <w:iCs/>
          <w:color w:val="000000"/>
          <w:szCs w:val="22"/>
        </w:rPr>
        <w:t xml:space="preserve"> </w:t>
      </w:r>
      <w:r>
        <w:rPr>
          <w:iCs/>
          <w:color w:val="000000"/>
          <w:szCs w:val="22"/>
        </w:rPr>
        <w:t xml:space="preserve">10 </w:t>
      </w:r>
      <w:r w:rsidRPr="0014127B">
        <w:rPr>
          <w:smallCaps/>
          <w:color w:val="000000"/>
          <w:szCs w:val="22"/>
        </w:rPr>
        <w:t xml:space="preserve">Gerry W. Beyer, et. al, Texas Practice Series: Law of </w:t>
      </w:r>
      <w:r w:rsidRPr="0014127B">
        <w:rPr>
          <w:smallCaps/>
          <w:color w:val="000000"/>
          <w:szCs w:val="22"/>
        </w:rPr>
        <w:t>Wills</w:t>
      </w:r>
      <w:r>
        <w:rPr>
          <w:color w:val="000000"/>
          <w:szCs w:val="22"/>
        </w:rPr>
        <w:t xml:space="preserve"> </w:t>
      </w:r>
      <w:r w:rsidRPr="00E26603">
        <w:rPr>
          <w:color w:val="000000"/>
          <w:szCs w:val="22"/>
        </w:rPr>
        <w:t xml:space="preserve"> § 42:1 (</w:t>
      </w:r>
      <w:r>
        <w:rPr>
          <w:color w:val="000000"/>
          <w:szCs w:val="22"/>
        </w:rPr>
        <w:t>4th ed.</w:t>
      </w:r>
      <w:r w:rsidRPr="00E26603">
        <w:rPr>
          <w:color w:val="000000"/>
          <w:szCs w:val="22"/>
        </w:rPr>
        <w:t xml:space="preserve"> 2019).</w:t>
      </w:r>
    </w:p>
  </w:footnote>
  <w:footnote w:id="217">
    <w:p w14:paraId="3FF4FF4D" w14:textId="6700293F"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 xml:space="preserve">See </w:t>
      </w:r>
      <w:r w:rsidRPr="00614423">
        <w:rPr>
          <w:i/>
          <w:iCs/>
          <w:color w:val="000000"/>
          <w:szCs w:val="22"/>
        </w:rPr>
        <w:t>generally</w:t>
      </w:r>
      <w:r>
        <w:rPr>
          <w:color w:val="000000"/>
          <w:szCs w:val="22"/>
        </w:rPr>
        <w:t>,</w:t>
      </w:r>
      <w:r w:rsidRPr="00E26603">
        <w:rPr>
          <w:color w:val="000000"/>
          <w:szCs w:val="22"/>
        </w:rPr>
        <w:t xml:space="preserve"> </w:t>
      </w:r>
      <w:r w:rsidRPr="00CC72ED">
        <w:rPr>
          <w:i/>
          <w:iCs/>
          <w:color w:val="000000"/>
          <w:szCs w:val="22"/>
        </w:rPr>
        <w:t>id</w:t>
      </w:r>
      <w:r>
        <w:rPr>
          <w:color w:val="000000"/>
          <w:szCs w:val="22"/>
        </w:rPr>
        <w:t xml:space="preserve">. at </w:t>
      </w:r>
      <w:r w:rsidRPr="00E26603">
        <w:rPr>
          <w:color w:val="000000"/>
          <w:szCs w:val="22"/>
        </w:rPr>
        <w:t>§ 42:3 (explaining the importance of specificity in incentive provisions).</w:t>
      </w:r>
    </w:p>
  </w:footnote>
  <w:footnote w:id="218">
    <w:p w14:paraId="34F30730" w14:textId="6B0244AD" w:rsidR="0070346C" w:rsidRPr="0094387C" w:rsidRDefault="0070346C" w:rsidP="00561F7C">
      <w:pPr>
        <w:pStyle w:val="FootnoteText"/>
        <w:tabs>
          <w:tab w:val="clear" w:pos="600"/>
          <w:tab w:val="left" w:pos="605"/>
        </w:tabs>
        <w:spacing w:line="480" w:lineRule="auto"/>
        <w:rPr>
          <w:color w:val="000000"/>
          <w:szCs w:val="16"/>
        </w:rPr>
      </w:pPr>
      <w:r w:rsidRPr="0094387C">
        <w:rPr>
          <w:color w:val="000000"/>
          <w:szCs w:val="16"/>
        </w:rPr>
        <w:tab/>
      </w:r>
      <w:r w:rsidRPr="0094387C">
        <w:rPr>
          <w:rStyle w:val="FootnoteReference"/>
          <w:color w:val="000000"/>
          <w:sz w:val="16"/>
          <w:szCs w:val="16"/>
          <w:vertAlign w:val="baseline"/>
        </w:rPr>
        <w:footnoteRef/>
      </w:r>
      <w:r w:rsidRPr="0094387C">
        <w:rPr>
          <w:color w:val="000000"/>
          <w:szCs w:val="16"/>
        </w:rPr>
        <w:t>.</w:t>
      </w:r>
      <w:r w:rsidRPr="0094387C">
        <w:rPr>
          <w:color w:val="000000"/>
          <w:szCs w:val="16"/>
        </w:rPr>
        <w:tab/>
      </w:r>
      <w:r w:rsidRPr="0094387C">
        <w:rPr>
          <w:i/>
          <w:iCs/>
          <w:color w:val="000000"/>
          <w:szCs w:val="16"/>
        </w:rPr>
        <w:t>See id</w:t>
      </w:r>
      <w:r w:rsidRPr="0094387C">
        <w:rPr>
          <w:i/>
          <w:color w:val="000000"/>
          <w:szCs w:val="16"/>
        </w:rPr>
        <w:t>.</w:t>
      </w:r>
    </w:p>
  </w:footnote>
  <w:footnote w:id="219">
    <w:p w14:paraId="18853DC1" w14:textId="5721667E" w:rsidR="0070346C" w:rsidRDefault="0070346C">
      <w:pPr>
        <w:pStyle w:val="FootnoteText"/>
      </w:pPr>
      <w:r>
        <w:tab/>
      </w:r>
      <w:r w:rsidRPr="0014127B">
        <w:rPr>
          <w:rStyle w:val="FootnoteReference"/>
          <w:sz w:val="16"/>
          <w:szCs w:val="16"/>
          <w:vertAlign w:val="baseline"/>
        </w:rPr>
        <w:footnoteRef/>
      </w:r>
      <w:r>
        <w:t>.</w:t>
      </w:r>
      <w:r>
        <w:tab/>
      </w:r>
      <w:r>
        <w:rPr>
          <w:szCs w:val="16"/>
        </w:rPr>
        <w:t>Question posed by the author for the purposes of this article.</w:t>
      </w:r>
    </w:p>
  </w:footnote>
  <w:footnote w:id="220">
    <w:p w14:paraId="1C8091E9" w14:textId="590346CE" w:rsidR="0070346C" w:rsidRDefault="0070346C">
      <w:pPr>
        <w:pStyle w:val="FootnoteText"/>
      </w:pPr>
      <w:r>
        <w:rPr>
          <w:szCs w:val="16"/>
        </w:rPr>
        <w:tab/>
      </w:r>
      <w:r w:rsidRPr="0014127B">
        <w:rPr>
          <w:rStyle w:val="FootnoteReference"/>
          <w:sz w:val="16"/>
          <w:szCs w:val="16"/>
          <w:vertAlign w:val="baseline"/>
        </w:rPr>
        <w:footnoteRef/>
      </w:r>
      <w:r>
        <w:rPr>
          <w:szCs w:val="16"/>
        </w:rPr>
        <w:t>.</w:t>
      </w:r>
      <w:r>
        <w:rPr>
          <w:szCs w:val="16"/>
        </w:rPr>
        <w:tab/>
        <w:t>Question posed by the author for the purposes of this article.</w:t>
      </w:r>
    </w:p>
  </w:footnote>
  <w:footnote w:id="221">
    <w:p w14:paraId="6A678A96" w14:textId="0C3B4AA1"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w:t>
      </w:r>
      <w:r>
        <w:rPr>
          <w:color w:val="000000"/>
          <w:szCs w:val="22"/>
        </w:rPr>
        <w:t xml:space="preserve"> </w:t>
      </w:r>
      <w:r w:rsidRPr="0014127B">
        <w:rPr>
          <w:smallCaps/>
          <w:color w:val="000000"/>
          <w:szCs w:val="22"/>
        </w:rPr>
        <w:t>Beyer</w:t>
      </w:r>
      <w:r>
        <w:rPr>
          <w:color w:val="000000"/>
          <w:szCs w:val="22"/>
        </w:rPr>
        <w:t xml:space="preserve">, </w:t>
      </w:r>
      <w:r>
        <w:rPr>
          <w:i/>
          <w:iCs/>
          <w:color w:val="000000"/>
          <w:szCs w:val="22"/>
        </w:rPr>
        <w:t>supra</w:t>
      </w:r>
      <w:r>
        <w:rPr>
          <w:color w:val="000000"/>
          <w:szCs w:val="22"/>
        </w:rPr>
        <w:t xml:space="preserve"> note </w:t>
      </w:r>
      <w:r>
        <w:rPr>
          <w:color w:val="000000"/>
          <w:szCs w:val="22"/>
        </w:rPr>
        <w:fldChar w:fldCharType="begin"/>
      </w:r>
      <w:r>
        <w:rPr>
          <w:color w:val="000000"/>
          <w:szCs w:val="22"/>
        </w:rPr>
        <w:instrText xml:space="preserve"> NOTEREF _Ref33696665 \h </w:instrText>
      </w:r>
      <w:r>
        <w:rPr>
          <w:color w:val="000000"/>
          <w:szCs w:val="22"/>
        </w:rPr>
      </w:r>
      <w:r>
        <w:rPr>
          <w:color w:val="000000"/>
          <w:szCs w:val="22"/>
        </w:rPr>
        <w:fldChar w:fldCharType="separate"/>
      </w:r>
      <w:r>
        <w:rPr>
          <w:color w:val="000000"/>
          <w:szCs w:val="22"/>
        </w:rPr>
        <w:t>218</w:t>
      </w:r>
      <w:r>
        <w:rPr>
          <w:color w:val="000000"/>
          <w:szCs w:val="22"/>
        </w:rPr>
        <w:fldChar w:fldCharType="end"/>
      </w:r>
      <w:r>
        <w:rPr>
          <w:color w:val="000000"/>
          <w:szCs w:val="22"/>
        </w:rPr>
        <w:t>, § 42:1</w:t>
      </w:r>
      <w:r w:rsidRPr="00DE4F74">
        <w:rPr>
          <w:i/>
          <w:color w:val="000000"/>
          <w:szCs w:val="22"/>
        </w:rPr>
        <w:t>.</w:t>
      </w:r>
    </w:p>
  </w:footnote>
  <w:footnote w:id="222">
    <w:p w14:paraId="213C87A4" w14:textId="12A23D38"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DE4F74">
        <w:rPr>
          <w:i/>
          <w:iCs/>
          <w:color w:val="000000"/>
          <w:szCs w:val="22"/>
        </w:rPr>
        <w:t>See id</w:t>
      </w:r>
      <w:r w:rsidRPr="00DE4F74">
        <w:rPr>
          <w:i/>
          <w:color w:val="000000"/>
          <w:szCs w:val="22"/>
        </w:rPr>
        <w:t>.</w:t>
      </w:r>
    </w:p>
  </w:footnote>
  <w:footnote w:id="223">
    <w:p w14:paraId="2A2C6EAE" w14:textId="7DF5721B"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DE4F74">
        <w:rPr>
          <w:i/>
          <w:iCs/>
          <w:color w:val="000000"/>
          <w:szCs w:val="22"/>
        </w:rPr>
        <w:t>See id</w:t>
      </w:r>
      <w:r w:rsidRPr="00DE4F74">
        <w:rPr>
          <w:i/>
          <w:color w:val="000000"/>
          <w:szCs w:val="22"/>
        </w:rPr>
        <w:t>.</w:t>
      </w:r>
    </w:p>
  </w:footnote>
  <w:footnote w:id="224">
    <w:p w14:paraId="059EC35C" w14:textId="1F82B2E0"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DE4F74">
        <w:rPr>
          <w:i/>
          <w:iCs/>
          <w:color w:val="000000"/>
          <w:szCs w:val="22"/>
        </w:rPr>
        <w:t>See id</w:t>
      </w:r>
      <w:r w:rsidRPr="00DE4F74">
        <w:rPr>
          <w:i/>
          <w:color w:val="000000"/>
          <w:szCs w:val="22"/>
        </w:rPr>
        <w:t>.</w:t>
      </w:r>
    </w:p>
  </w:footnote>
  <w:footnote w:id="225">
    <w:p w14:paraId="36B9521A" w14:textId="64ED7268"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DE4F74">
        <w:rPr>
          <w:i/>
          <w:iCs/>
          <w:color w:val="000000"/>
          <w:szCs w:val="22"/>
        </w:rPr>
        <w:t>See id</w:t>
      </w:r>
      <w:r w:rsidRPr="00DE4F74">
        <w:rPr>
          <w:i/>
          <w:color w:val="000000"/>
          <w:szCs w:val="22"/>
        </w:rPr>
        <w:t>.</w:t>
      </w:r>
    </w:p>
  </w:footnote>
  <w:footnote w:id="226">
    <w:p w14:paraId="7E8F7354" w14:textId="46B3B89F"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DE4F74">
        <w:rPr>
          <w:i/>
          <w:iCs/>
          <w:color w:val="000000"/>
          <w:szCs w:val="22"/>
        </w:rPr>
        <w:t>See id</w:t>
      </w:r>
      <w:r w:rsidRPr="00DE4F74">
        <w:rPr>
          <w:i/>
          <w:color w:val="000000"/>
          <w:szCs w:val="22"/>
        </w:rPr>
        <w:t>.</w:t>
      </w:r>
    </w:p>
  </w:footnote>
  <w:footnote w:id="227">
    <w:p w14:paraId="60484D15" w14:textId="59078FC3"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id. </w:t>
      </w:r>
      <w:r w:rsidRPr="00E26603">
        <w:rPr>
          <w:color w:val="000000"/>
          <w:szCs w:val="22"/>
        </w:rPr>
        <w:t>§ 42:</w:t>
      </w:r>
      <w:r>
        <w:rPr>
          <w:color w:val="000000"/>
          <w:szCs w:val="22"/>
        </w:rPr>
        <w:t>1.</w:t>
      </w:r>
    </w:p>
  </w:footnote>
  <w:footnote w:id="228">
    <w:p w14:paraId="50C20A4D" w14:textId="79FC602F"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DE4F74">
        <w:rPr>
          <w:i/>
          <w:iCs/>
          <w:color w:val="000000"/>
          <w:szCs w:val="22"/>
        </w:rPr>
        <w:t>See id</w:t>
      </w:r>
      <w:r w:rsidRPr="00DE4F74">
        <w:rPr>
          <w:i/>
          <w:color w:val="000000"/>
          <w:szCs w:val="22"/>
        </w:rPr>
        <w:t>.</w:t>
      </w:r>
    </w:p>
  </w:footnote>
  <w:footnote w:id="229">
    <w:p w14:paraId="3F12067D" w14:textId="6C0BCC52"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DE4F74">
        <w:rPr>
          <w:i/>
          <w:iCs/>
          <w:color w:val="000000"/>
          <w:szCs w:val="22"/>
        </w:rPr>
        <w:t>See id</w:t>
      </w:r>
      <w:r>
        <w:rPr>
          <w:iCs/>
          <w:color w:val="000000"/>
          <w:szCs w:val="22"/>
        </w:rPr>
        <w:t>.</w:t>
      </w:r>
    </w:p>
  </w:footnote>
  <w:footnote w:id="230">
    <w:p w14:paraId="318FAD12" w14:textId="476767FF"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DE4F74">
        <w:rPr>
          <w:i/>
          <w:iCs/>
          <w:color w:val="000000"/>
          <w:szCs w:val="22"/>
        </w:rPr>
        <w:t>See id</w:t>
      </w:r>
      <w:r w:rsidRPr="00DE4F74">
        <w:rPr>
          <w:i/>
          <w:color w:val="000000"/>
          <w:szCs w:val="22"/>
        </w:rPr>
        <w:t>.</w:t>
      </w:r>
    </w:p>
  </w:footnote>
  <w:footnote w:id="231">
    <w:p w14:paraId="6FEF6633" w14:textId="081FFE88" w:rsidR="0070346C" w:rsidRPr="006E2D64" w:rsidRDefault="0070346C" w:rsidP="00561F7C">
      <w:pPr>
        <w:pStyle w:val="FootnoteText"/>
        <w:tabs>
          <w:tab w:val="clear" w:pos="600"/>
          <w:tab w:val="left" w:pos="605"/>
        </w:tabs>
        <w:spacing w:line="480" w:lineRule="auto"/>
        <w:rPr>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DE4F74">
        <w:rPr>
          <w:i/>
          <w:iCs/>
          <w:color w:val="000000"/>
          <w:szCs w:val="22"/>
        </w:rPr>
        <w:t>See id</w:t>
      </w:r>
      <w:r w:rsidRPr="00DE4F74">
        <w:rPr>
          <w:i/>
          <w:color w:val="000000"/>
          <w:szCs w:val="22"/>
        </w:rPr>
        <w:t>.</w:t>
      </w:r>
    </w:p>
  </w:footnote>
  <w:footnote w:id="232">
    <w:p w14:paraId="4E30AA7D" w14:textId="4E746E4A"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DE4F74">
        <w:rPr>
          <w:i/>
          <w:iCs/>
          <w:color w:val="000000"/>
          <w:szCs w:val="22"/>
        </w:rPr>
        <w:t>See id</w:t>
      </w:r>
      <w:r w:rsidRPr="00DE4F74">
        <w:rPr>
          <w:i/>
          <w:color w:val="000000"/>
          <w:szCs w:val="22"/>
        </w:rPr>
        <w:t>.</w:t>
      </w:r>
    </w:p>
  </w:footnote>
  <w:footnote w:id="233">
    <w:p w14:paraId="3C094FE8" w14:textId="346FF052"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t>Question posed by the author for purposes of this article.</w:t>
      </w:r>
    </w:p>
  </w:footnote>
  <w:footnote w:id="234">
    <w:p w14:paraId="4C4B5098" w14:textId="0E751A33"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sidRPr="00DE4F74">
        <w:rPr>
          <w:iCs/>
          <w:color w:val="000000"/>
          <w:szCs w:val="22"/>
        </w:rPr>
        <w:t xml:space="preserve"> </w:t>
      </w:r>
      <w:r w:rsidRPr="00E26603">
        <w:rPr>
          <w:color w:val="000000"/>
          <w:szCs w:val="22"/>
        </w:rPr>
        <w:t xml:space="preserve">Beyer, </w:t>
      </w:r>
      <w:r>
        <w:rPr>
          <w:i/>
          <w:iCs/>
          <w:color w:val="000000"/>
          <w:szCs w:val="22"/>
        </w:rPr>
        <w:t xml:space="preserve">supra </w:t>
      </w:r>
      <w:r>
        <w:rPr>
          <w:color w:val="000000"/>
          <w:szCs w:val="22"/>
        </w:rPr>
        <w:t xml:space="preserve">note </w:t>
      </w:r>
      <w:r>
        <w:rPr>
          <w:color w:val="000000"/>
          <w:szCs w:val="22"/>
        </w:rPr>
        <w:fldChar w:fldCharType="begin"/>
      </w:r>
      <w:r>
        <w:rPr>
          <w:color w:val="000000"/>
          <w:szCs w:val="22"/>
        </w:rPr>
        <w:instrText xml:space="preserve"> NOTEREF _Ref33696665 \h </w:instrText>
      </w:r>
      <w:r>
        <w:rPr>
          <w:color w:val="000000"/>
          <w:szCs w:val="22"/>
        </w:rPr>
      </w:r>
      <w:r>
        <w:rPr>
          <w:color w:val="000000"/>
          <w:szCs w:val="22"/>
        </w:rPr>
        <w:fldChar w:fldCharType="separate"/>
      </w:r>
      <w:r>
        <w:rPr>
          <w:color w:val="000000"/>
          <w:szCs w:val="22"/>
        </w:rPr>
        <w:t>218</w:t>
      </w:r>
      <w:r>
        <w:rPr>
          <w:color w:val="000000"/>
          <w:szCs w:val="22"/>
        </w:rPr>
        <w:fldChar w:fldCharType="end"/>
      </w:r>
      <w:r>
        <w:rPr>
          <w:color w:val="000000"/>
          <w:szCs w:val="22"/>
        </w:rPr>
        <w:t xml:space="preserve"> </w:t>
      </w:r>
      <w:r w:rsidRPr="00E26603">
        <w:rPr>
          <w:color w:val="000000"/>
          <w:szCs w:val="22"/>
        </w:rPr>
        <w:t>§ 42:1 .</w:t>
      </w:r>
    </w:p>
  </w:footnote>
  <w:footnote w:id="235">
    <w:p w14:paraId="005FC4D8" w14:textId="29C42420"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 xml:space="preserve">See </w:t>
      </w:r>
      <w:r w:rsidRPr="00DE4F74">
        <w:rPr>
          <w:i/>
          <w:iCs/>
          <w:color w:val="000000"/>
          <w:szCs w:val="22"/>
        </w:rPr>
        <w:t>id</w:t>
      </w:r>
      <w:r>
        <w:rPr>
          <w:i/>
          <w:color w:val="000000"/>
          <w:szCs w:val="22"/>
        </w:rPr>
        <w:t>.</w:t>
      </w:r>
    </w:p>
  </w:footnote>
  <w:footnote w:id="236">
    <w:p w14:paraId="750F3BFA" w14:textId="65A4F40B"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generally</w:t>
      </w:r>
      <w:r w:rsidRPr="00E26603">
        <w:rPr>
          <w:color w:val="000000"/>
          <w:szCs w:val="22"/>
        </w:rPr>
        <w:t xml:space="preserve"> </w:t>
      </w:r>
      <w:r w:rsidRPr="00DE4F74">
        <w:rPr>
          <w:i/>
          <w:iCs/>
          <w:color w:val="000000"/>
          <w:szCs w:val="22"/>
        </w:rPr>
        <w:t>id</w:t>
      </w:r>
      <w:r w:rsidRPr="00DE4F74">
        <w:rPr>
          <w:i/>
          <w:color w:val="000000"/>
          <w:szCs w:val="22"/>
        </w:rPr>
        <w:t>.</w:t>
      </w:r>
    </w:p>
  </w:footnote>
  <w:footnote w:id="237">
    <w:p w14:paraId="647CD7C9" w14:textId="0C7801BC"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 xml:space="preserve">See </w:t>
      </w:r>
      <w:r w:rsidRPr="00E26603">
        <w:rPr>
          <w:smallCaps/>
          <w:color w:val="000000"/>
          <w:szCs w:val="22"/>
        </w:rPr>
        <w:t>Restatement (Third) of Trusts</w:t>
      </w:r>
      <w:r>
        <w:rPr>
          <w:smallCaps/>
          <w:color w:val="000000"/>
          <w:szCs w:val="22"/>
        </w:rPr>
        <w:t>: Duty to Furnish Information to Beneficiaries</w:t>
      </w:r>
      <w:r w:rsidRPr="00E26603">
        <w:rPr>
          <w:color w:val="000000"/>
          <w:szCs w:val="22"/>
        </w:rPr>
        <w:t xml:space="preserve"> § 82</w:t>
      </w:r>
      <w:r>
        <w:rPr>
          <w:color w:val="000000"/>
          <w:szCs w:val="22"/>
        </w:rPr>
        <w:t xml:space="preserve"> (</w:t>
      </w:r>
      <w:r w:rsidRPr="0014127B">
        <w:rPr>
          <w:smallCaps/>
          <w:color w:val="000000"/>
          <w:szCs w:val="22"/>
        </w:rPr>
        <w:t>Am. Law. Inst</w:t>
      </w:r>
      <w:r>
        <w:rPr>
          <w:color w:val="000000"/>
          <w:szCs w:val="22"/>
        </w:rPr>
        <w:t>. 2003).</w:t>
      </w:r>
    </w:p>
  </w:footnote>
  <w:footnote w:id="238">
    <w:p w14:paraId="246F2CE3" w14:textId="69D27A32"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DE4F74">
        <w:rPr>
          <w:i/>
          <w:iCs/>
          <w:color w:val="000000"/>
          <w:szCs w:val="22"/>
        </w:rPr>
        <w:t>Id</w:t>
      </w:r>
      <w:r w:rsidRPr="00DE4F74">
        <w:rPr>
          <w:i/>
          <w:color w:val="000000"/>
          <w:szCs w:val="22"/>
        </w:rPr>
        <w:t>.</w:t>
      </w:r>
    </w:p>
  </w:footnote>
  <w:footnote w:id="239">
    <w:p w14:paraId="5819C566" w14:textId="2F2411CC"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r w:rsidRPr="00E26603">
        <w:rPr>
          <w:color w:val="000000"/>
          <w:szCs w:val="22"/>
        </w:rPr>
        <w:t>.</w:t>
      </w:r>
    </w:p>
  </w:footnote>
  <w:footnote w:id="240">
    <w:p w14:paraId="6FB6B816" w14:textId="15CB9AC0"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w:t>
      </w:r>
      <w:r>
        <w:rPr>
          <w:i/>
          <w:iCs/>
          <w:color w:val="000000"/>
          <w:szCs w:val="22"/>
        </w:rPr>
        <w:t>e</w:t>
      </w:r>
      <w:r w:rsidRPr="00DE4F74">
        <w:rPr>
          <w:iCs/>
          <w:color w:val="000000"/>
          <w:szCs w:val="22"/>
        </w:rPr>
        <w:t xml:space="preserve"> </w:t>
      </w:r>
      <w:r w:rsidRPr="00E26603">
        <w:rPr>
          <w:i/>
          <w:iCs/>
          <w:color w:val="000000"/>
          <w:szCs w:val="22"/>
        </w:rPr>
        <w:t>id.</w:t>
      </w:r>
    </w:p>
  </w:footnote>
  <w:footnote w:id="241">
    <w:p w14:paraId="4FC1229F" w14:textId="3EFC70D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w:t>
      </w:r>
      <w:r w:rsidRPr="00DE4F74">
        <w:rPr>
          <w:iCs/>
          <w:color w:val="000000"/>
          <w:szCs w:val="22"/>
        </w:rPr>
        <w:t xml:space="preserve"> </w:t>
      </w:r>
      <w:r w:rsidRPr="00E26603">
        <w:rPr>
          <w:i/>
          <w:iCs/>
          <w:color w:val="000000"/>
          <w:szCs w:val="22"/>
        </w:rPr>
        <w:t>id.</w:t>
      </w:r>
    </w:p>
  </w:footnote>
  <w:footnote w:id="242">
    <w:p w14:paraId="3F5A06B4" w14:textId="1615953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p>
  </w:footnote>
  <w:footnote w:id="243">
    <w:p w14:paraId="7BBFF22A" w14:textId="550A22F1"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smallCaps/>
          <w:color w:val="000000"/>
          <w:szCs w:val="22"/>
        </w:rPr>
        <w:t xml:space="preserve">Tex. </w:t>
      </w:r>
      <w:r>
        <w:rPr>
          <w:smallCaps/>
          <w:color w:val="000000"/>
          <w:szCs w:val="22"/>
        </w:rPr>
        <w:t>Trust</w:t>
      </w:r>
      <w:r w:rsidRPr="00E26603">
        <w:rPr>
          <w:smallCaps/>
          <w:color w:val="000000"/>
          <w:szCs w:val="22"/>
        </w:rPr>
        <w:t>. Code</w:t>
      </w:r>
      <w:r>
        <w:rPr>
          <w:smallCaps/>
          <w:color w:val="000000"/>
          <w:szCs w:val="22"/>
        </w:rPr>
        <w:t xml:space="preserve"> Ann.</w:t>
      </w:r>
      <w:r w:rsidRPr="00E26603">
        <w:rPr>
          <w:color w:val="000000"/>
          <w:szCs w:val="22"/>
        </w:rPr>
        <w:t xml:space="preserve"> § 113.151(a).</w:t>
      </w:r>
    </w:p>
  </w:footnote>
  <w:footnote w:id="244">
    <w:p w14:paraId="0DBA401A" w14:textId="6D8E825C" w:rsidR="0070346C" w:rsidRPr="00E26603" w:rsidRDefault="0070346C" w:rsidP="00561F7C">
      <w:pPr>
        <w:pStyle w:val="FootnoteText"/>
        <w:tabs>
          <w:tab w:val="clear" w:pos="600"/>
          <w:tab w:val="left" w:pos="605"/>
        </w:tabs>
        <w:spacing w:line="480" w:lineRule="auto"/>
        <w:rPr>
          <w:i/>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color w:val="000000"/>
          <w:szCs w:val="22"/>
        </w:rPr>
        <w:t>Id.</w:t>
      </w:r>
    </w:p>
  </w:footnote>
  <w:footnote w:id="245">
    <w:p w14:paraId="3D39EF40" w14:textId="269F625B" w:rsidR="0070346C" w:rsidRPr="00E26603" w:rsidRDefault="0070346C" w:rsidP="00561F7C">
      <w:pPr>
        <w:pStyle w:val="FootnoteText"/>
        <w:tabs>
          <w:tab w:val="clear" w:pos="600"/>
          <w:tab w:val="left" w:pos="605"/>
        </w:tabs>
        <w:spacing w:line="480" w:lineRule="auto"/>
        <w:rPr>
          <w:i/>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color w:val="000000"/>
          <w:szCs w:val="22"/>
        </w:rPr>
        <w:t>Id.</w:t>
      </w:r>
    </w:p>
  </w:footnote>
  <w:footnote w:id="246">
    <w:p w14:paraId="729C40DD" w14:textId="00EB47BA"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color w:val="000000"/>
          <w:szCs w:val="22"/>
        </w:rPr>
        <w:t>See i</w:t>
      </w:r>
      <w:r w:rsidRPr="00E26603">
        <w:rPr>
          <w:i/>
          <w:color w:val="000000"/>
          <w:szCs w:val="22"/>
        </w:rPr>
        <w:t>d.</w:t>
      </w:r>
      <w:r w:rsidRPr="00E26603">
        <w:rPr>
          <w:color w:val="000000"/>
          <w:szCs w:val="22"/>
        </w:rPr>
        <w:t xml:space="preserve"> § 113.151(b).</w:t>
      </w:r>
    </w:p>
  </w:footnote>
  <w:footnote w:id="247">
    <w:p w14:paraId="6F715D96" w14:textId="058E418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Id</w:t>
      </w:r>
      <w:r w:rsidRPr="00E26603">
        <w:rPr>
          <w:color w:val="000000"/>
          <w:szCs w:val="22"/>
        </w:rPr>
        <w:t>.</w:t>
      </w:r>
    </w:p>
  </w:footnote>
  <w:footnote w:id="248">
    <w:p w14:paraId="4D92EF47" w14:textId="65CEEC7E"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Id. </w:t>
      </w:r>
      <w:r w:rsidRPr="00E26603">
        <w:rPr>
          <w:color w:val="000000"/>
          <w:szCs w:val="22"/>
        </w:rPr>
        <w:t>§ 111.004(7).</w:t>
      </w:r>
    </w:p>
  </w:footnote>
  <w:footnote w:id="249">
    <w:p w14:paraId="18F24373" w14:textId="515458DC"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 xml:space="preserve">See </w:t>
      </w:r>
      <w:r>
        <w:rPr>
          <w:i/>
          <w:iCs/>
          <w:color w:val="000000"/>
          <w:szCs w:val="22"/>
        </w:rPr>
        <w:t xml:space="preserve">id. </w:t>
      </w:r>
      <w:r w:rsidRPr="00E26603">
        <w:rPr>
          <w:color w:val="000000"/>
          <w:szCs w:val="22"/>
        </w:rPr>
        <w:t>§ 113.151(</w:t>
      </w:r>
      <w:r>
        <w:rPr>
          <w:color w:val="000000"/>
          <w:szCs w:val="22"/>
        </w:rPr>
        <w:t>a</w:t>
      </w:r>
      <w:r w:rsidRPr="00E26603">
        <w:rPr>
          <w:color w:val="000000"/>
          <w:szCs w:val="22"/>
        </w:rPr>
        <w:t>).</w:t>
      </w:r>
    </w:p>
  </w:footnote>
  <w:footnote w:id="250">
    <w:p w14:paraId="21123F49" w14:textId="1389C70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 xml:space="preserve">See </w:t>
      </w:r>
      <w:r w:rsidRPr="00147DE5">
        <w:rPr>
          <w:i/>
          <w:iCs/>
          <w:color w:val="000000"/>
          <w:szCs w:val="22"/>
        </w:rPr>
        <w:t>id</w:t>
      </w:r>
      <w:r w:rsidRPr="00147DE5">
        <w:rPr>
          <w:i/>
          <w:color w:val="000000"/>
          <w:szCs w:val="22"/>
        </w:rPr>
        <w:t>.</w:t>
      </w:r>
    </w:p>
  </w:footnote>
  <w:footnote w:id="251">
    <w:p w14:paraId="5412A950" w14:textId="27A565C2"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t>Opinion of the author.</w:t>
      </w:r>
    </w:p>
  </w:footnote>
  <w:footnote w:id="252">
    <w:p w14:paraId="6AF63B13" w14:textId="485ECE64"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t>Opinion of the author.</w:t>
      </w:r>
    </w:p>
  </w:footnote>
  <w:footnote w:id="253">
    <w:p w14:paraId="03454004" w14:textId="7820C03F"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t>Opinion of the author.</w:t>
      </w:r>
    </w:p>
  </w:footnote>
  <w:footnote w:id="254">
    <w:p w14:paraId="12B59387" w14:textId="4814757A" w:rsidR="0070346C" w:rsidRPr="0014127B" w:rsidRDefault="0070346C" w:rsidP="00561F7C">
      <w:pPr>
        <w:pStyle w:val="FootnoteText"/>
        <w:tabs>
          <w:tab w:val="clear" w:pos="600"/>
          <w:tab w:val="left" w:pos="605"/>
        </w:tabs>
        <w:spacing w:line="480" w:lineRule="auto"/>
        <w:rPr>
          <w:color w:val="000000"/>
          <w:szCs w:val="22"/>
          <w:lang w:val="fr-FR"/>
        </w:rPr>
      </w:pPr>
      <w:r>
        <w:rPr>
          <w:color w:val="000000"/>
          <w:szCs w:val="22"/>
        </w:rPr>
        <w:tab/>
      </w:r>
      <w:r w:rsidRPr="00E26603">
        <w:rPr>
          <w:rStyle w:val="FootnoteReference"/>
          <w:color w:val="000000"/>
          <w:sz w:val="16"/>
          <w:szCs w:val="22"/>
          <w:vertAlign w:val="baseline"/>
        </w:rPr>
        <w:footnoteRef/>
      </w:r>
      <w:r w:rsidRPr="0014127B">
        <w:rPr>
          <w:color w:val="000000"/>
          <w:szCs w:val="22"/>
          <w:lang w:val="fr-FR"/>
        </w:rPr>
        <w:t>.</w:t>
      </w:r>
      <w:r w:rsidRPr="0014127B">
        <w:rPr>
          <w:color w:val="000000"/>
          <w:szCs w:val="22"/>
          <w:lang w:val="fr-FR"/>
        </w:rPr>
        <w:tab/>
      </w:r>
      <w:r w:rsidRPr="0014127B">
        <w:rPr>
          <w:smallCaps/>
          <w:color w:val="000000"/>
          <w:szCs w:val="22"/>
          <w:lang w:val="fr-FR"/>
        </w:rPr>
        <w:t>Tex. Prop. Code Ann.</w:t>
      </w:r>
      <w:r w:rsidRPr="0014127B">
        <w:rPr>
          <w:color w:val="000000"/>
          <w:szCs w:val="22"/>
          <w:lang w:val="fr-FR"/>
        </w:rPr>
        <w:t xml:space="preserve"> § 113.152.</w:t>
      </w:r>
    </w:p>
  </w:footnote>
  <w:footnote w:id="255">
    <w:p w14:paraId="5AE94CC1" w14:textId="5C829A3F" w:rsidR="0070346C" w:rsidRPr="0014127B" w:rsidRDefault="0070346C" w:rsidP="00561F7C">
      <w:pPr>
        <w:pStyle w:val="FootnoteText"/>
        <w:tabs>
          <w:tab w:val="clear" w:pos="600"/>
          <w:tab w:val="left" w:pos="605"/>
        </w:tabs>
        <w:spacing w:line="480" w:lineRule="auto"/>
        <w:rPr>
          <w:color w:val="000000"/>
          <w:szCs w:val="22"/>
          <w:lang w:val="fr-FR"/>
        </w:rPr>
      </w:pPr>
      <w:r w:rsidRPr="0014127B">
        <w:rPr>
          <w:color w:val="000000"/>
          <w:szCs w:val="22"/>
          <w:lang w:val="fr-FR"/>
        </w:rPr>
        <w:tab/>
      </w:r>
      <w:r w:rsidRPr="00E26603">
        <w:rPr>
          <w:rStyle w:val="FootnoteReference"/>
          <w:color w:val="000000"/>
          <w:sz w:val="16"/>
          <w:szCs w:val="22"/>
          <w:vertAlign w:val="baseline"/>
        </w:rPr>
        <w:footnoteRef/>
      </w:r>
      <w:r w:rsidRPr="0014127B">
        <w:rPr>
          <w:color w:val="000000"/>
          <w:szCs w:val="22"/>
          <w:lang w:val="fr-FR"/>
        </w:rPr>
        <w:t>.</w:t>
      </w:r>
      <w:r w:rsidRPr="0014127B">
        <w:rPr>
          <w:color w:val="000000"/>
          <w:szCs w:val="22"/>
          <w:lang w:val="fr-FR"/>
        </w:rPr>
        <w:tab/>
      </w:r>
      <w:r w:rsidRPr="0014127B">
        <w:rPr>
          <w:i/>
          <w:iCs/>
          <w:color w:val="000000"/>
          <w:szCs w:val="22"/>
          <w:lang w:val="fr-FR"/>
        </w:rPr>
        <w:t>Id</w:t>
      </w:r>
      <w:r w:rsidRPr="0014127B">
        <w:rPr>
          <w:i/>
          <w:color w:val="000000"/>
          <w:szCs w:val="22"/>
          <w:lang w:val="fr-FR"/>
        </w:rPr>
        <w:t>.</w:t>
      </w:r>
    </w:p>
  </w:footnote>
  <w:footnote w:id="256">
    <w:p w14:paraId="4332671F" w14:textId="67751F23" w:rsidR="0070346C" w:rsidRPr="00E26603" w:rsidRDefault="0070346C" w:rsidP="00561F7C">
      <w:pPr>
        <w:pStyle w:val="FootnoteText"/>
        <w:tabs>
          <w:tab w:val="clear" w:pos="600"/>
          <w:tab w:val="left" w:pos="605"/>
        </w:tabs>
        <w:spacing w:line="480" w:lineRule="auto"/>
        <w:rPr>
          <w:color w:val="000000"/>
          <w:szCs w:val="22"/>
        </w:rPr>
      </w:pPr>
      <w:r w:rsidRPr="0014127B">
        <w:rPr>
          <w:color w:val="000000"/>
          <w:szCs w:val="22"/>
          <w:lang w:val="fr-FR"/>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 xml:space="preserve">See </w:t>
      </w:r>
      <w:r w:rsidRPr="00E26603">
        <w:rPr>
          <w:smallCaps/>
          <w:color w:val="000000"/>
          <w:szCs w:val="22"/>
        </w:rPr>
        <w:t>Restatement (Third) of Trusts</w:t>
      </w:r>
      <w:r>
        <w:rPr>
          <w:smallCaps/>
          <w:color w:val="000000"/>
          <w:szCs w:val="22"/>
        </w:rPr>
        <w:t>: Duty to Furnish Information to Beneficiaries</w:t>
      </w:r>
      <w:r w:rsidRPr="00E26603">
        <w:rPr>
          <w:color w:val="000000"/>
          <w:szCs w:val="22"/>
        </w:rPr>
        <w:t xml:space="preserve"> § 82</w:t>
      </w:r>
      <w:r>
        <w:rPr>
          <w:color w:val="000000"/>
          <w:szCs w:val="22"/>
        </w:rPr>
        <w:t xml:space="preserve"> (</w:t>
      </w:r>
      <w:r w:rsidRPr="004369DB">
        <w:rPr>
          <w:smallCaps/>
          <w:color w:val="000000"/>
          <w:szCs w:val="22"/>
        </w:rPr>
        <w:t>Am. Law. Inst</w:t>
      </w:r>
      <w:r>
        <w:rPr>
          <w:color w:val="000000"/>
          <w:szCs w:val="22"/>
        </w:rPr>
        <w:t>. 2003).</w:t>
      </w:r>
    </w:p>
  </w:footnote>
  <w:footnote w:id="257">
    <w:p w14:paraId="7FAAF663" w14:textId="13386599" w:rsidR="0070346C" w:rsidRPr="0014127B" w:rsidRDefault="0070346C" w:rsidP="00561F7C">
      <w:pPr>
        <w:pStyle w:val="FootnoteText"/>
        <w:tabs>
          <w:tab w:val="clear" w:pos="600"/>
          <w:tab w:val="left" w:pos="605"/>
        </w:tabs>
        <w:spacing w:line="480" w:lineRule="auto"/>
        <w:rPr>
          <w:i/>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id. </w:t>
      </w:r>
    </w:p>
  </w:footnote>
  <w:footnote w:id="258">
    <w:p w14:paraId="5CBB23E8" w14:textId="7F20CAF1"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 xml:space="preserve">See </w:t>
      </w:r>
      <w:r>
        <w:rPr>
          <w:i/>
          <w:iCs/>
          <w:color w:val="000000"/>
          <w:szCs w:val="22"/>
        </w:rPr>
        <w:t>id</w:t>
      </w:r>
      <w:r w:rsidRPr="00E26603">
        <w:rPr>
          <w:color w:val="000000"/>
          <w:szCs w:val="22"/>
        </w:rPr>
        <w:t>.</w:t>
      </w:r>
    </w:p>
  </w:footnote>
  <w:footnote w:id="259">
    <w:p w14:paraId="4251D095" w14:textId="2B0A5168" w:rsidR="0070346C" w:rsidRPr="00B72F3E" w:rsidRDefault="0070346C" w:rsidP="00561F7C">
      <w:pPr>
        <w:pStyle w:val="FootnoteText"/>
        <w:spacing w:line="480" w:lineRule="auto"/>
        <w:rPr>
          <w:szCs w:val="16"/>
        </w:rPr>
      </w:pPr>
      <w:r>
        <w:rPr>
          <w:szCs w:val="16"/>
        </w:rPr>
        <w:tab/>
      </w:r>
      <w:r w:rsidRPr="0014127B">
        <w:rPr>
          <w:rStyle w:val="FootnoteReference"/>
          <w:sz w:val="16"/>
          <w:szCs w:val="16"/>
          <w:vertAlign w:val="baseline"/>
        </w:rPr>
        <w:footnoteRef/>
      </w:r>
      <w:r>
        <w:rPr>
          <w:szCs w:val="16"/>
        </w:rPr>
        <w:t>.</w:t>
      </w:r>
      <w:r>
        <w:rPr>
          <w:szCs w:val="16"/>
        </w:rPr>
        <w:tab/>
      </w:r>
      <w:r w:rsidRPr="00E26603">
        <w:rPr>
          <w:i/>
          <w:iCs/>
          <w:color w:val="000000"/>
          <w:szCs w:val="22"/>
        </w:rPr>
        <w:t xml:space="preserve">See </w:t>
      </w:r>
      <w:r>
        <w:rPr>
          <w:i/>
          <w:iCs/>
          <w:color w:val="000000"/>
          <w:szCs w:val="22"/>
        </w:rPr>
        <w:t>id</w:t>
      </w:r>
      <w:r w:rsidRPr="00E26603">
        <w:rPr>
          <w:color w:val="000000"/>
          <w:szCs w:val="22"/>
        </w:rPr>
        <w:t>.</w:t>
      </w:r>
    </w:p>
  </w:footnote>
  <w:footnote w:id="260">
    <w:p w14:paraId="125D6382" w14:textId="010A169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Pr>
          <w:color w:val="000000"/>
          <w:szCs w:val="16"/>
        </w:rPr>
        <w:t>Burdette</w:t>
      </w:r>
      <w:r>
        <w:rPr>
          <w:color w:val="000000"/>
          <w:szCs w:val="22"/>
        </w:rPr>
        <w:t xml:space="preserve">, </w:t>
      </w:r>
      <w:r>
        <w:rPr>
          <w:i/>
          <w:iCs/>
          <w:color w:val="000000"/>
          <w:szCs w:val="22"/>
        </w:rPr>
        <w:t xml:space="preserve">supra </w:t>
      </w:r>
      <w:r>
        <w:rPr>
          <w:color w:val="000000"/>
          <w:szCs w:val="22"/>
        </w:rPr>
        <w:t xml:space="preserve">note </w:t>
      </w:r>
      <w:r>
        <w:rPr>
          <w:color w:val="000000"/>
          <w:szCs w:val="22"/>
        </w:rPr>
        <w:fldChar w:fldCharType="begin"/>
      </w:r>
      <w:r>
        <w:rPr>
          <w:color w:val="000000"/>
          <w:szCs w:val="22"/>
        </w:rPr>
        <w:instrText xml:space="preserve"> NOTEREF _Ref33804856 \h  \* MERGEFORMAT </w:instrText>
      </w:r>
      <w:r>
        <w:rPr>
          <w:color w:val="000000"/>
          <w:szCs w:val="22"/>
        </w:rPr>
      </w:r>
      <w:r>
        <w:rPr>
          <w:color w:val="000000"/>
          <w:szCs w:val="22"/>
        </w:rPr>
        <w:fldChar w:fldCharType="separate"/>
      </w:r>
      <w:r>
        <w:rPr>
          <w:color w:val="000000"/>
          <w:szCs w:val="22"/>
        </w:rPr>
        <w:t>71</w:t>
      </w:r>
      <w:r>
        <w:rPr>
          <w:color w:val="000000"/>
          <w:szCs w:val="22"/>
        </w:rPr>
        <w:fldChar w:fldCharType="end"/>
      </w:r>
      <w:r>
        <w:rPr>
          <w:color w:val="000000"/>
          <w:szCs w:val="22"/>
        </w:rPr>
        <w:t>, at 27.</w:t>
      </w:r>
    </w:p>
  </w:footnote>
  <w:footnote w:id="261">
    <w:p w14:paraId="23BF3F1B" w14:textId="7B119B88"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A64E88">
        <w:rPr>
          <w:i/>
          <w:iCs/>
          <w:color w:val="000000"/>
          <w:szCs w:val="22"/>
        </w:rPr>
        <w:t>Id</w:t>
      </w:r>
      <w:r w:rsidRPr="00A64E88">
        <w:rPr>
          <w:i/>
          <w:color w:val="000000"/>
          <w:szCs w:val="22"/>
        </w:rPr>
        <w:t>.</w:t>
      </w:r>
      <w:r w:rsidRPr="00E26603">
        <w:rPr>
          <w:color w:val="000000"/>
          <w:szCs w:val="22"/>
        </w:rPr>
        <w:t xml:space="preserve"> at 2</w:t>
      </w:r>
      <w:r>
        <w:rPr>
          <w:color w:val="000000"/>
          <w:szCs w:val="22"/>
        </w:rPr>
        <w:t>7.</w:t>
      </w:r>
    </w:p>
  </w:footnote>
  <w:footnote w:id="262">
    <w:p w14:paraId="7AE4B038" w14:textId="6DC9BE1E"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A64E88">
        <w:rPr>
          <w:i/>
          <w:iCs/>
          <w:color w:val="000000"/>
          <w:szCs w:val="22"/>
        </w:rPr>
        <w:t>Id</w:t>
      </w:r>
      <w:r w:rsidRPr="00A64E88">
        <w:rPr>
          <w:i/>
          <w:color w:val="000000"/>
          <w:szCs w:val="22"/>
        </w:rPr>
        <w:t>.</w:t>
      </w:r>
    </w:p>
  </w:footnote>
  <w:footnote w:id="263">
    <w:p w14:paraId="32494423" w14:textId="6F1D51C2"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A64E88">
        <w:rPr>
          <w:i/>
          <w:iCs/>
          <w:color w:val="000000"/>
          <w:szCs w:val="22"/>
        </w:rPr>
        <w:t>Id</w:t>
      </w:r>
      <w:r w:rsidRPr="00A64E88">
        <w:rPr>
          <w:i/>
          <w:color w:val="000000"/>
          <w:szCs w:val="22"/>
        </w:rPr>
        <w:t>.</w:t>
      </w:r>
    </w:p>
  </w:footnote>
  <w:footnote w:id="264">
    <w:p w14:paraId="3FC7CCDB" w14:textId="0A9F3FF1"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A64E88">
        <w:rPr>
          <w:i/>
          <w:iCs/>
          <w:color w:val="000000"/>
          <w:szCs w:val="22"/>
        </w:rPr>
        <w:t>Id</w:t>
      </w:r>
      <w:r w:rsidRPr="00A64E88">
        <w:rPr>
          <w:i/>
          <w:color w:val="000000"/>
          <w:szCs w:val="22"/>
        </w:rPr>
        <w:t>.</w:t>
      </w:r>
    </w:p>
  </w:footnote>
  <w:footnote w:id="265">
    <w:p w14:paraId="6F0AB4BD" w14:textId="27498076"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A64E88">
        <w:rPr>
          <w:i/>
          <w:iCs/>
          <w:color w:val="000000"/>
          <w:szCs w:val="22"/>
        </w:rPr>
        <w:t>Id</w:t>
      </w:r>
      <w:r w:rsidRPr="00A64E88">
        <w:rPr>
          <w:i/>
          <w:color w:val="000000"/>
          <w:szCs w:val="22"/>
        </w:rPr>
        <w:t>.</w:t>
      </w:r>
    </w:p>
  </w:footnote>
  <w:footnote w:id="266">
    <w:p w14:paraId="08C4A5EF" w14:textId="195CFCA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A64E88">
        <w:rPr>
          <w:i/>
          <w:iCs/>
          <w:color w:val="000000"/>
          <w:szCs w:val="22"/>
        </w:rPr>
        <w:t>Id</w:t>
      </w:r>
      <w:r w:rsidRPr="00A64E88">
        <w:rPr>
          <w:i/>
          <w:color w:val="000000"/>
          <w:szCs w:val="22"/>
        </w:rPr>
        <w:t>.</w:t>
      </w:r>
    </w:p>
  </w:footnote>
  <w:footnote w:id="267">
    <w:p w14:paraId="7B1E6B42" w14:textId="34CFFA11"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A64E88">
        <w:rPr>
          <w:i/>
          <w:iCs/>
          <w:color w:val="000000"/>
          <w:szCs w:val="22"/>
        </w:rPr>
        <w:t>Id</w:t>
      </w:r>
      <w:r w:rsidRPr="00A64E88">
        <w:rPr>
          <w:i/>
          <w:color w:val="000000"/>
          <w:szCs w:val="22"/>
        </w:rPr>
        <w:t>.</w:t>
      </w:r>
    </w:p>
  </w:footnote>
  <w:footnote w:id="268">
    <w:p w14:paraId="5905ADF9" w14:textId="315C1D68"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Pr>
          <w:i/>
          <w:iCs/>
          <w:color w:val="000000"/>
          <w:szCs w:val="22"/>
        </w:rPr>
        <w:t xml:space="preserve"> </w:t>
      </w:r>
      <w:r>
        <w:rPr>
          <w:i/>
          <w:iCs/>
          <w:color w:val="000000"/>
          <w:szCs w:val="22"/>
        </w:rPr>
        <w:t xml:space="preserve">id. </w:t>
      </w:r>
      <w:r w:rsidRPr="00A64E88">
        <w:rPr>
          <w:iCs/>
          <w:color w:val="000000"/>
          <w:szCs w:val="22"/>
        </w:rPr>
        <w:t xml:space="preserve"> </w:t>
      </w:r>
      <w:r w:rsidRPr="00E26603">
        <w:rPr>
          <w:color w:val="000000"/>
          <w:szCs w:val="22"/>
        </w:rPr>
        <w:t>.</w:t>
      </w:r>
    </w:p>
  </w:footnote>
  <w:footnote w:id="269">
    <w:p w14:paraId="49F011FB" w14:textId="2473DF36" w:rsidR="0070346C" w:rsidRPr="00E26603" w:rsidRDefault="0070346C" w:rsidP="0014127B">
      <w:pPr>
        <w:pStyle w:val="FootnoteText"/>
        <w:tabs>
          <w:tab w:val="clear" w:pos="600"/>
          <w:tab w:val="left" w:pos="605"/>
          <w:tab w:val="left" w:pos="5580"/>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Pr>
          <w:i/>
          <w:iCs/>
          <w:color w:val="000000"/>
          <w:szCs w:val="22"/>
        </w:rPr>
        <w:t xml:space="preserve"> generally</w:t>
      </w:r>
      <w:r>
        <w:rPr>
          <w:color w:val="000000"/>
          <w:szCs w:val="22"/>
        </w:rPr>
        <w:t>,</w:t>
      </w:r>
      <w:r w:rsidRPr="00E26603">
        <w:rPr>
          <w:i/>
          <w:iCs/>
          <w:color w:val="000000"/>
          <w:szCs w:val="22"/>
        </w:rPr>
        <w:t xml:space="preserve"> </w:t>
      </w:r>
      <w:r w:rsidRPr="00E26603">
        <w:rPr>
          <w:smallCaps/>
          <w:color w:val="000000"/>
          <w:szCs w:val="22"/>
        </w:rPr>
        <w:t>Restatement (Third) of Trusts</w:t>
      </w:r>
      <w:r>
        <w:rPr>
          <w:smallCaps/>
          <w:color w:val="000000"/>
          <w:szCs w:val="22"/>
        </w:rPr>
        <w:t>: Trust Administration</w:t>
      </w:r>
      <w:r w:rsidRPr="00E26603">
        <w:rPr>
          <w:color w:val="000000"/>
          <w:szCs w:val="22"/>
        </w:rPr>
        <w:t xml:space="preserve"> </w:t>
      </w:r>
      <w:r>
        <w:rPr>
          <w:color w:val="000000"/>
          <w:szCs w:val="22"/>
        </w:rPr>
        <w:t>Pt. 6 (</w:t>
      </w:r>
      <w:r w:rsidRPr="004369DB">
        <w:rPr>
          <w:smallCaps/>
          <w:color w:val="000000"/>
          <w:szCs w:val="22"/>
        </w:rPr>
        <w:t>Am. Law. Inst</w:t>
      </w:r>
      <w:r>
        <w:rPr>
          <w:color w:val="000000"/>
          <w:szCs w:val="22"/>
        </w:rPr>
        <w:t>. 2003) (discussing trust administration).</w:t>
      </w:r>
    </w:p>
  </w:footnote>
  <w:footnote w:id="270">
    <w:p w14:paraId="19EEB2F0" w14:textId="52160318"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color w:val="000000"/>
          <w:szCs w:val="22"/>
        </w:rPr>
        <w:t>See</w:t>
      </w:r>
      <w:r>
        <w:rPr>
          <w:color w:val="000000"/>
          <w:szCs w:val="22"/>
        </w:rPr>
        <w:t xml:space="preserve"> </w:t>
      </w:r>
      <w:r>
        <w:rPr>
          <w:i/>
          <w:iCs/>
          <w:color w:val="000000"/>
          <w:szCs w:val="22"/>
        </w:rPr>
        <w:t xml:space="preserve">id. </w:t>
      </w:r>
      <w:r>
        <w:rPr>
          <w:color w:val="000000"/>
          <w:szCs w:val="22"/>
        </w:rPr>
        <w:t>§ 82.</w:t>
      </w:r>
    </w:p>
  </w:footnote>
  <w:footnote w:id="271">
    <w:p w14:paraId="7553521D" w14:textId="15B27577" w:rsidR="0070346C" w:rsidRPr="006E2D64"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Pr>
          <w:color w:val="000000"/>
          <w:szCs w:val="22"/>
        </w:rPr>
        <w:t>Montgomery v. Kennedy, 669 S.W.2d 309, 313 (Tex. 1984).</w:t>
      </w:r>
    </w:p>
  </w:footnote>
  <w:footnote w:id="272">
    <w:p w14:paraId="188213D4" w14:textId="4E5EF2D4" w:rsidR="0070346C" w:rsidRPr="00E26603" w:rsidRDefault="0070346C" w:rsidP="00561F7C">
      <w:pPr>
        <w:tabs>
          <w:tab w:val="right" w:pos="446"/>
          <w:tab w:val="left" w:pos="605"/>
        </w:tabs>
        <w:spacing w:line="480" w:lineRule="auto"/>
        <w:jc w:val="both"/>
        <w:rPr>
          <w:color w:val="000000"/>
          <w:sz w:val="16"/>
        </w:rPr>
      </w:pPr>
      <w:r>
        <w:rPr>
          <w:color w:val="000000"/>
          <w:sz w:val="16"/>
        </w:rPr>
        <w:tab/>
      </w:r>
      <w:r w:rsidRPr="00E26603">
        <w:rPr>
          <w:rStyle w:val="FootnoteReference"/>
          <w:color w:val="000000"/>
          <w:sz w:val="16"/>
          <w:vertAlign w:val="baseline"/>
        </w:rPr>
        <w:footnoteRef/>
      </w:r>
      <w:r>
        <w:rPr>
          <w:color w:val="000000"/>
          <w:sz w:val="16"/>
        </w:rPr>
        <w:t>.</w:t>
      </w:r>
      <w:r>
        <w:rPr>
          <w:color w:val="000000"/>
          <w:sz w:val="16"/>
        </w:rPr>
        <w:tab/>
      </w:r>
      <w:r>
        <w:rPr>
          <w:iCs/>
          <w:color w:val="000000"/>
          <w:sz w:val="16"/>
        </w:rPr>
        <w:t xml:space="preserve"> </w:t>
      </w:r>
      <w:r>
        <w:rPr>
          <w:i/>
          <w:color w:val="000000"/>
          <w:sz w:val="16"/>
        </w:rPr>
        <w:t>Id</w:t>
      </w:r>
      <w:r>
        <w:rPr>
          <w:iCs/>
          <w:color w:val="000000"/>
          <w:sz w:val="16"/>
        </w:rPr>
        <w:t>.</w:t>
      </w:r>
    </w:p>
  </w:footnote>
  <w:footnote w:id="273">
    <w:p w14:paraId="513F7811" w14:textId="511883B8"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 xml:space="preserve">See </w:t>
      </w:r>
      <w:r w:rsidRPr="00E26603">
        <w:rPr>
          <w:smallCaps/>
          <w:color w:val="000000"/>
          <w:szCs w:val="22"/>
        </w:rPr>
        <w:t>Restatement (Third) of Trusts</w:t>
      </w:r>
      <w:r>
        <w:rPr>
          <w:smallCaps/>
          <w:color w:val="000000"/>
          <w:szCs w:val="22"/>
        </w:rPr>
        <w:t>: Duty to Furnish Information to Beneficiaries</w:t>
      </w:r>
      <w:r w:rsidRPr="00E26603">
        <w:rPr>
          <w:color w:val="000000"/>
          <w:szCs w:val="22"/>
        </w:rPr>
        <w:t xml:space="preserve"> § 82</w:t>
      </w:r>
      <w:r>
        <w:rPr>
          <w:color w:val="000000"/>
          <w:szCs w:val="22"/>
        </w:rPr>
        <w:t xml:space="preserve"> (</w:t>
      </w:r>
      <w:r w:rsidRPr="004369DB">
        <w:rPr>
          <w:smallCaps/>
          <w:color w:val="000000"/>
          <w:szCs w:val="22"/>
        </w:rPr>
        <w:t>Am. Law. Inst</w:t>
      </w:r>
      <w:r>
        <w:rPr>
          <w:color w:val="000000"/>
          <w:szCs w:val="22"/>
        </w:rPr>
        <w:t>. 2003).</w:t>
      </w:r>
    </w:p>
  </w:footnote>
  <w:footnote w:id="274">
    <w:p w14:paraId="695038F0" w14:textId="69E1F925" w:rsidR="0070346C" w:rsidRPr="00F60A78" w:rsidRDefault="0070346C" w:rsidP="0014127B">
      <w:pPr>
        <w:tabs>
          <w:tab w:val="right" w:pos="446"/>
          <w:tab w:val="left" w:pos="605"/>
        </w:tabs>
        <w:spacing w:line="480" w:lineRule="auto"/>
        <w:jc w:val="both"/>
        <w:rPr>
          <w:color w:val="000000"/>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color w:val="000000"/>
          <w:sz w:val="16"/>
        </w:rPr>
        <w:t>See id.</w:t>
      </w:r>
    </w:p>
  </w:footnote>
  <w:footnote w:id="275">
    <w:p w14:paraId="45A54B92" w14:textId="5D24D481"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color w:val="000000"/>
        </w:rPr>
        <w:t>See id.</w:t>
      </w:r>
    </w:p>
  </w:footnote>
  <w:footnote w:id="276">
    <w:p w14:paraId="7150E798" w14:textId="3E6DE5C9" w:rsidR="0070346C" w:rsidRPr="00E26603" w:rsidRDefault="0070346C" w:rsidP="00561F7C">
      <w:pPr>
        <w:pStyle w:val="FootnoteText"/>
        <w:tabs>
          <w:tab w:val="clear" w:pos="600"/>
          <w:tab w:val="left" w:pos="605"/>
        </w:tabs>
        <w:spacing w:line="480" w:lineRule="auto"/>
        <w:rPr>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color w:val="000000"/>
        </w:rPr>
        <w:t>See id.</w:t>
      </w:r>
    </w:p>
  </w:footnote>
  <w:footnote w:id="277">
    <w:p w14:paraId="47D19DF7" w14:textId="5BB19191"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t xml:space="preserve">InterFirst Bank Dallas, N.A. v. Risser </w:t>
      </w:r>
      <w:r w:rsidRPr="00E26603">
        <w:rPr>
          <w:color w:val="000000"/>
          <w:szCs w:val="22"/>
        </w:rPr>
        <w:t xml:space="preserve">739 S.W.2d 882 (Tex. App.—Texarkana 1987, </w:t>
      </w:r>
      <w:r w:rsidRPr="0014127B">
        <w:rPr>
          <w:iCs/>
          <w:color w:val="000000"/>
          <w:szCs w:val="22"/>
        </w:rPr>
        <w:t>writ dism’d</w:t>
      </w:r>
      <w:r w:rsidRPr="00E26603">
        <w:rPr>
          <w:color w:val="000000"/>
          <w:szCs w:val="22"/>
        </w:rPr>
        <w:t>).</w:t>
      </w:r>
    </w:p>
  </w:footnote>
  <w:footnote w:id="278">
    <w:p w14:paraId="4FA5EE5D" w14:textId="0F77B03D"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id. </w:t>
      </w:r>
      <w:r>
        <w:rPr>
          <w:color w:val="000000"/>
          <w:szCs w:val="22"/>
        </w:rPr>
        <w:t>a</w:t>
      </w:r>
      <w:r w:rsidRPr="00E26603">
        <w:rPr>
          <w:color w:val="000000"/>
          <w:szCs w:val="22"/>
        </w:rPr>
        <w:t>t 906 n. 28</w:t>
      </w:r>
      <w:r>
        <w:rPr>
          <w:color w:val="000000"/>
          <w:szCs w:val="22"/>
        </w:rPr>
        <w:t>.</w:t>
      </w:r>
    </w:p>
  </w:footnote>
  <w:footnote w:id="279">
    <w:p w14:paraId="25B54F38" w14:textId="5925D53C" w:rsidR="0070346C" w:rsidRPr="00960C66" w:rsidRDefault="0070346C" w:rsidP="00561F7C">
      <w:pPr>
        <w:pStyle w:val="FootnoteText"/>
        <w:spacing w:line="480" w:lineRule="auto"/>
      </w:pPr>
      <w:r>
        <w:rPr>
          <w:szCs w:val="16"/>
        </w:rPr>
        <w:tab/>
      </w:r>
      <w:r w:rsidRPr="0014127B">
        <w:rPr>
          <w:rStyle w:val="FootnoteReference"/>
          <w:sz w:val="16"/>
          <w:szCs w:val="16"/>
          <w:vertAlign w:val="baseline"/>
        </w:rPr>
        <w:footnoteRef/>
      </w:r>
      <w:r>
        <w:rPr>
          <w:szCs w:val="16"/>
        </w:rPr>
        <w:t>.</w:t>
      </w:r>
      <w:r>
        <w:rPr>
          <w:szCs w:val="16"/>
        </w:rPr>
        <w:tab/>
      </w:r>
      <w:r w:rsidRPr="00E26603">
        <w:rPr>
          <w:i/>
          <w:iCs/>
          <w:color w:val="000000"/>
          <w:szCs w:val="22"/>
        </w:rPr>
        <w:t xml:space="preserve">See </w:t>
      </w:r>
      <w:r w:rsidRPr="00E26603">
        <w:rPr>
          <w:smallCaps/>
          <w:color w:val="000000"/>
          <w:szCs w:val="22"/>
        </w:rPr>
        <w:t>Restatement (Third) of Trusts</w:t>
      </w:r>
      <w:r>
        <w:rPr>
          <w:smallCaps/>
          <w:color w:val="000000"/>
          <w:szCs w:val="22"/>
        </w:rPr>
        <w:t>: Duty to Furnish Information to Beneficiaries</w:t>
      </w:r>
      <w:r w:rsidRPr="00E26603">
        <w:rPr>
          <w:color w:val="000000"/>
          <w:szCs w:val="22"/>
        </w:rPr>
        <w:t xml:space="preserve"> § 82</w:t>
      </w:r>
      <w:r>
        <w:rPr>
          <w:color w:val="000000"/>
          <w:szCs w:val="22"/>
        </w:rPr>
        <w:t xml:space="preserve"> (</w:t>
      </w:r>
      <w:r w:rsidRPr="004369DB">
        <w:rPr>
          <w:smallCaps/>
          <w:color w:val="000000"/>
          <w:szCs w:val="22"/>
        </w:rPr>
        <w:t>Am. Law. Inst</w:t>
      </w:r>
      <w:r>
        <w:rPr>
          <w:color w:val="000000"/>
          <w:szCs w:val="22"/>
        </w:rPr>
        <w:t>. 2019).</w:t>
      </w:r>
    </w:p>
  </w:footnote>
  <w:footnote w:id="280">
    <w:p w14:paraId="2BB63343" w14:textId="7D5D2E8D"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color w:val="000000"/>
        </w:rPr>
        <w:t>See id</w:t>
      </w:r>
      <w:r w:rsidRPr="00E26603">
        <w:rPr>
          <w:color w:val="000000"/>
          <w:szCs w:val="22"/>
        </w:rPr>
        <w:t>.</w:t>
      </w:r>
    </w:p>
  </w:footnote>
  <w:footnote w:id="281">
    <w:p w14:paraId="07D96424" w14:textId="5E7E14BD" w:rsidR="0070346C" w:rsidRPr="00E26603" w:rsidRDefault="0070346C" w:rsidP="00561F7C">
      <w:pPr>
        <w:tabs>
          <w:tab w:val="right" w:pos="446"/>
          <w:tab w:val="left" w:pos="605"/>
        </w:tabs>
        <w:spacing w:line="480" w:lineRule="auto"/>
        <w:jc w:val="both"/>
        <w:rPr>
          <w:color w:val="000000"/>
          <w:sz w:val="16"/>
        </w:rPr>
      </w:pPr>
      <w:r>
        <w:rPr>
          <w:color w:val="000000"/>
          <w:sz w:val="16"/>
        </w:rPr>
        <w:tab/>
      </w:r>
      <w:r w:rsidRPr="00E26603">
        <w:rPr>
          <w:rStyle w:val="FootnoteReference"/>
          <w:color w:val="000000"/>
          <w:sz w:val="16"/>
          <w:vertAlign w:val="baseline"/>
        </w:rPr>
        <w:footnoteRef/>
      </w:r>
      <w:r>
        <w:rPr>
          <w:color w:val="000000"/>
          <w:sz w:val="16"/>
        </w:rPr>
        <w:t>.</w:t>
      </w:r>
      <w:r>
        <w:rPr>
          <w:color w:val="000000"/>
          <w:sz w:val="16"/>
        </w:rPr>
        <w:tab/>
      </w:r>
      <w:r>
        <w:rPr>
          <w:i/>
          <w:color w:val="000000"/>
          <w:sz w:val="16"/>
        </w:rPr>
        <w:t>See id.</w:t>
      </w:r>
    </w:p>
  </w:footnote>
  <w:footnote w:id="282">
    <w:p w14:paraId="39E3618A" w14:textId="62F54A7C"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color w:val="000000"/>
        </w:rPr>
        <w:t>See id.</w:t>
      </w:r>
    </w:p>
  </w:footnote>
  <w:footnote w:id="283">
    <w:p w14:paraId="6321C844" w14:textId="00D7CF00" w:rsidR="0070346C" w:rsidRPr="00E26603" w:rsidRDefault="0070346C" w:rsidP="00561F7C">
      <w:pPr>
        <w:tabs>
          <w:tab w:val="right" w:pos="446"/>
          <w:tab w:val="left" w:pos="605"/>
        </w:tabs>
        <w:spacing w:line="480" w:lineRule="auto"/>
        <w:jc w:val="both"/>
        <w:rPr>
          <w:color w:val="000000"/>
          <w:sz w:val="16"/>
        </w:rPr>
      </w:pPr>
      <w:r>
        <w:rPr>
          <w:color w:val="000000"/>
          <w:sz w:val="16"/>
        </w:rPr>
        <w:tab/>
      </w:r>
      <w:r w:rsidRPr="00E26603">
        <w:rPr>
          <w:rStyle w:val="FootnoteReference"/>
          <w:color w:val="000000"/>
          <w:sz w:val="16"/>
          <w:vertAlign w:val="baseline"/>
        </w:rPr>
        <w:footnoteRef/>
      </w:r>
      <w:r>
        <w:rPr>
          <w:color w:val="000000"/>
          <w:sz w:val="16"/>
        </w:rPr>
        <w:t>.</w:t>
      </w:r>
      <w:r>
        <w:rPr>
          <w:color w:val="000000"/>
          <w:sz w:val="16"/>
        </w:rPr>
        <w:tab/>
      </w:r>
      <w:r>
        <w:rPr>
          <w:i/>
          <w:color w:val="000000"/>
          <w:sz w:val="16"/>
        </w:rPr>
        <w:t>See id.</w:t>
      </w:r>
    </w:p>
  </w:footnote>
  <w:footnote w:id="284">
    <w:p w14:paraId="220CD071" w14:textId="2035A661"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color w:val="000000"/>
        </w:rPr>
        <w:t>See id.</w:t>
      </w:r>
      <w:r w:rsidRPr="00E26603" w:rsidDel="004842C8">
        <w:rPr>
          <w:smallCaps/>
          <w:color w:val="000000"/>
          <w:szCs w:val="22"/>
        </w:rPr>
        <w:t xml:space="preserve"> </w:t>
      </w:r>
    </w:p>
  </w:footnote>
  <w:footnote w:id="285">
    <w:p w14:paraId="60A53C91" w14:textId="7665565F"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See id</w:t>
      </w:r>
      <w:r w:rsidRPr="003F1248">
        <w:rPr>
          <w:i/>
          <w:color w:val="000000"/>
          <w:szCs w:val="22"/>
        </w:rPr>
        <w:t>.</w:t>
      </w:r>
    </w:p>
  </w:footnote>
  <w:footnote w:id="286">
    <w:p w14:paraId="3E116563" w14:textId="6E5CD7BA"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See id</w:t>
      </w:r>
      <w:r w:rsidRPr="003F1248">
        <w:rPr>
          <w:i/>
          <w:color w:val="000000"/>
          <w:szCs w:val="22"/>
        </w:rPr>
        <w:t>.</w:t>
      </w:r>
    </w:p>
  </w:footnote>
  <w:footnote w:id="287">
    <w:p w14:paraId="3C6B5138" w14:textId="7811C08C"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color w:val="000000"/>
        </w:rPr>
        <w:t>See id.</w:t>
      </w:r>
      <w:r w:rsidRPr="00E26603" w:rsidDel="004842C8">
        <w:rPr>
          <w:smallCaps/>
          <w:color w:val="000000"/>
          <w:szCs w:val="22"/>
        </w:rPr>
        <w:t xml:space="preserve"> </w:t>
      </w:r>
    </w:p>
  </w:footnote>
  <w:footnote w:id="288">
    <w:p w14:paraId="7C17AB67" w14:textId="5C14B73E"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smallCaps/>
          <w:color w:val="000000"/>
          <w:szCs w:val="22"/>
        </w:rPr>
        <w:t xml:space="preserve">Tex. </w:t>
      </w:r>
      <w:r>
        <w:rPr>
          <w:smallCaps/>
          <w:color w:val="000000"/>
          <w:szCs w:val="22"/>
        </w:rPr>
        <w:t>Prop.</w:t>
      </w:r>
      <w:r w:rsidRPr="00E26603">
        <w:rPr>
          <w:smallCaps/>
          <w:color w:val="000000"/>
          <w:szCs w:val="22"/>
        </w:rPr>
        <w:t xml:space="preserve"> Code</w:t>
      </w:r>
      <w:r w:rsidRPr="00E26603">
        <w:rPr>
          <w:color w:val="000000"/>
          <w:szCs w:val="22"/>
        </w:rPr>
        <w:t xml:space="preserve"> § 111.0035(c).</w:t>
      </w:r>
    </w:p>
  </w:footnote>
  <w:footnote w:id="289">
    <w:p w14:paraId="33179B5C" w14:textId="7E879A3B" w:rsidR="0070346C" w:rsidRPr="00E26603" w:rsidRDefault="0070346C" w:rsidP="00561F7C">
      <w:pPr>
        <w:pStyle w:val="FootnoteText"/>
        <w:tabs>
          <w:tab w:val="clear" w:pos="600"/>
          <w:tab w:val="left" w:pos="605"/>
        </w:tabs>
        <w:spacing w:line="480" w:lineRule="auto"/>
        <w:rPr>
          <w:i/>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p>
  </w:footnote>
  <w:footnote w:id="290">
    <w:p w14:paraId="2BAFE586" w14:textId="0BBDBD3D"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p>
  </w:footnote>
  <w:footnote w:id="291">
    <w:p w14:paraId="16051C00" w14:textId="02DC383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p>
  </w:footnote>
  <w:footnote w:id="292">
    <w:p w14:paraId="5D0FE911" w14:textId="4F84D394"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sidRPr="00E26603">
        <w:rPr>
          <w:color w:val="000000"/>
          <w:szCs w:val="22"/>
        </w:rPr>
        <w:t xml:space="preserve"> </w:t>
      </w:r>
      <w:r w:rsidRPr="00E26603">
        <w:rPr>
          <w:smallCaps/>
          <w:color w:val="000000"/>
          <w:szCs w:val="22"/>
        </w:rPr>
        <w:t xml:space="preserve">Tex. </w:t>
      </w:r>
      <w:r>
        <w:rPr>
          <w:smallCaps/>
          <w:color w:val="000000"/>
          <w:szCs w:val="22"/>
        </w:rPr>
        <w:t>Prop</w:t>
      </w:r>
      <w:r w:rsidRPr="00E26603">
        <w:rPr>
          <w:smallCaps/>
          <w:color w:val="000000"/>
          <w:szCs w:val="22"/>
        </w:rPr>
        <w:t xml:space="preserve">. Code Ann. </w:t>
      </w:r>
      <w:r w:rsidRPr="003F1248">
        <w:rPr>
          <w:color w:val="000000"/>
          <w:szCs w:val="22"/>
        </w:rPr>
        <w:t>§ 111.0035(</w:t>
      </w:r>
      <w:r>
        <w:rPr>
          <w:color w:val="000000"/>
          <w:szCs w:val="22"/>
        </w:rPr>
        <w:t>a).</w:t>
      </w:r>
    </w:p>
  </w:footnote>
  <w:footnote w:id="293">
    <w:p w14:paraId="466D0C70" w14:textId="10368DD8"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sidRPr="00E26603">
        <w:rPr>
          <w:color w:val="000000"/>
          <w:szCs w:val="22"/>
        </w:rPr>
        <w:t xml:space="preserve"> </w:t>
      </w:r>
      <w:r>
        <w:rPr>
          <w:i/>
          <w:iCs/>
          <w:color w:val="000000"/>
          <w:szCs w:val="22"/>
        </w:rPr>
        <w:t>id</w:t>
      </w:r>
      <w:r>
        <w:rPr>
          <w:color w:val="000000"/>
          <w:szCs w:val="22"/>
        </w:rPr>
        <w:t xml:space="preserve">. at </w:t>
      </w:r>
      <w:r>
        <w:rPr>
          <w:i/>
          <w:iCs/>
          <w:color w:val="000000"/>
          <w:szCs w:val="22"/>
        </w:rPr>
        <w:t xml:space="preserve"> </w:t>
      </w:r>
      <w:r w:rsidRPr="003F1248">
        <w:rPr>
          <w:color w:val="000000"/>
          <w:szCs w:val="22"/>
        </w:rPr>
        <w:t>§ 113.021.</w:t>
      </w:r>
    </w:p>
  </w:footnote>
  <w:footnote w:id="294">
    <w:p w14:paraId="608307AB" w14:textId="20595953"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sidRPr="00E26603">
        <w:rPr>
          <w:color w:val="000000"/>
          <w:szCs w:val="22"/>
        </w:rPr>
        <w:t xml:space="preserve"> </w:t>
      </w:r>
      <w:r>
        <w:rPr>
          <w:i/>
          <w:iCs/>
          <w:color w:val="000000"/>
          <w:szCs w:val="22"/>
        </w:rPr>
        <w:t>id</w:t>
      </w:r>
      <w:r>
        <w:rPr>
          <w:color w:val="000000"/>
          <w:szCs w:val="22"/>
        </w:rPr>
        <w:t>. at</w:t>
      </w:r>
      <w:r>
        <w:rPr>
          <w:i/>
          <w:iCs/>
          <w:color w:val="000000"/>
          <w:szCs w:val="22"/>
        </w:rPr>
        <w:t xml:space="preserve"> </w:t>
      </w:r>
      <w:r w:rsidRPr="003F1248">
        <w:rPr>
          <w:color w:val="000000"/>
          <w:szCs w:val="22"/>
        </w:rPr>
        <w:t>§ 113.029.</w:t>
      </w:r>
    </w:p>
  </w:footnote>
  <w:footnote w:id="295">
    <w:p w14:paraId="1DCA02F1" w14:textId="041B52DD" w:rsidR="0070346C" w:rsidRPr="00E26603" w:rsidRDefault="0070346C" w:rsidP="00561F7C">
      <w:pPr>
        <w:pStyle w:val="FootnoteText"/>
        <w:tabs>
          <w:tab w:val="clear" w:pos="600"/>
          <w:tab w:val="left" w:pos="605"/>
        </w:tabs>
        <w:spacing w:line="480" w:lineRule="auto"/>
        <w:rPr>
          <w:i/>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p>
  </w:footnote>
  <w:footnote w:id="296">
    <w:p w14:paraId="69DF8687" w14:textId="79E1C86C"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color w:val="000000"/>
          <w:szCs w:val="22"/>
        </w:rPr>
        <w:t xml:space="preserve">72 </w:t>
      </w:r>
      <w:r w:rsidRPr="00E26603">
        <w:rPr>
          <w:smallCaps/>
          <w:color w:val="000000"/>
          <w:szCs w:val="22"/>
        </w:rPr>
        <w:t>Tex. Jur. 3d</w:t>
      </w:r>
      <w:r w:rsidRPr="00E26603">
        <w:rPr>
          <w:color w:val="000000"/>
          <w:szCs w:val="22"/>
        </w:rPr>
        <w:t xml:space="preserve"> </w:t>
      </w:r>
      <w:r w:rsidRPr="00E26603">
        <w:rPr>
          <w:i/>
          <w:iCs/>
          <w:color w:val="000000"/>
          <w:szCs w:val="22"/>
        </w:rPr>
        <w:t>Trusts</w:t>
      </w:r>
      <w:r w:rsidRPr="00E26603">
        <w:rPr>
          <w:color w:val="000000"/>
          <w:szCs w:val="22"/>
        </w:rPr>
        <w:t xml:space="preserve"> § </w:t>
      </w:r>
      <w:r>
        <w:rPr>
          <w:color w:val="000000"/>
          <w:szCs w:val="22"/>
        </w:rPr>
        <w:t>23 (2020).</w:t>
      </w:r>
    </w:p>
  </w:footnote>
  <w:footnote w:id="297">
    <w:p w14:paraId="3F38E4FA" w14:textId="34BC2E0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 xml:space="preserve">See </w:t>
      </w:r>
      <w:r>
        <w:rPr>
          <w:i/>
          <w:iCs/>
          <w:color w:val="000000"/>
          <w:szCs w:val="22"/>
        </w:rPr>
        <w:t>id.</w:t>
      </w:r>
    </w:p>
  </w:footnote>
  <w:footnote w:id="298">
    <w:p w14:paraId="04B50EEF" w14:textId="741ED1A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id</w:t>
      </w:r>
      <w:r w:rsidRPr="0014127B">
        <w:rPr>
          <w:color w:val="000000"/>
          <w:szCs w:val="22"/>
        </w:rPr>
        <w:t>.</w:t>
      </w:r>
      <w:r>
        <w:rPr>
          <w:color w:val="000000"/>
          <w:szCs w:val="22"/>
        </w:rPr>
        <w:t xml:space="preserve"> § 118</w:t>
      </w:r>
      <w:r w:rsidRPr="00713E7A">
        <w:rPr>
          <w:color w:val="000000"/>
          <w:szCs w:val="22"/>
        </w:rPr>
        <w:t>.</w:t>
      </w:r>
    </w:p>
  </w:footnote>
  <w:footnote w:id="299">
    <w:p w14:paraId="310A9E92" w14:textId="0D971AE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id</w:t>
      </w:r>
      <w:r w:rsidRPr="004369DB">
        <w:rPr>
          <w:color w:val="000000"/>
          <w:szCs w:val="22"/>
        </w:rPr>
        <w:t>.</w:t>
      </w:r>
      <w:r>
        <w:rPr>
          <w:color w:val="000000"/>
          <w:szCs w:val="22"/>
        </w:rPr>
        <w:t xml:space="preserve"> </w:t>
      </w:r>
    </w:p>
  </w:footnote>
  <w:footnote w:id="300">
    <w:p w14:paraId="7F722645" w14:textId="30109194" w:rsidR="0070346C" w:rsidRPr="00E26603" w:rsidRDefault="0070346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id</w:t>
      </w:r>
      <w:r w:rsidRPr="004369DB">
        <w:rPr>
          <w:color w:val="000000"/>
          <w:szCs w:val="22"/>
        </w:rPr>
        <w:t>.</w:t>
      </w:r>
      <w:r>
        <w:rPr>
          <w:color w:val="000000"/>
          <w:szCs w:val="22"/>
        </w:rPr>
        <w:t xml:space="preserve"> </w:t>
      </w:r>
    </w:p>
  </w:footnote>
  <w:footnote w:id="301">
    <w:p w14:paraId="59332019" w14:textId="517D89E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color w:val="000000"/>
          <w:szCs w:val="22"/>
        </w:rPr>
        <w:t xml:space="preserve">Annie Nova, </w:t>
      </w:r>
      <w:r w:rsidRPr="00E26603">
        <w:rPr>
          <w:i/>
          <w:color w:val="000000"/>
          <w:szCs w:val="22"/>
        </w:rPr>
        <w:t>Another challenge in retirement?</w:t>
      </w:r>
      <w:r w:rsidRPr="00E26603">
        <w:rPr>
          <w:iCs/>
          <w:color w:val="000000"/>
          <w:szCs w:val="22"/>
        </w:rPr>
        <w:t>,</w:t>
      </w:r>
      <w:r w:rsidRPr="00E26603">
        <w:rPr>
          <w:i/>
          <w:color w:val="000000"/>
          <w:szCs w:val="22"/>
        </w:rPr>
        <w:t xml:space="preserve"> </w:t>
      </w:r>
      <w:r w:rsidRPr="00E26603">
        <w:rPr>
          <w:iCs/>
          <w:smallCaps/>
          <w:color w:val="000000"/>
          <w:szCs w:val="22"/>
        </w:rPr>
        <w:t>CNBC: Student loans</w:t>
      </w:r>
      <w:r w:rsidRPr="00E26603">
        <w:rPr>
          <w:color w:val="000000"/>
          <w:szCs w:val="22"/>
        </w:rPr>
        <w:t xml:space="preserve">, Nov. 14, 2018. </w:t>
      </w:r>
      <w:r w:rsidRPr="0014127B">
        <w:t>https://www.cnbc.com/2018/11/14/more-older-people-are-bringing-student-debt-into-their-retirement .html</w:t>
      </w:r>
      <w:r>
        <w:rPr>
          <w:rStyle w:val="Hyperlink"/>
          <w:color w:val="000000"/>
          <w:szCs w:val="22"/>
          <w:u w:val="none"/>
        </w:rPr>
        <w:t xml:space="preserve"> [perma.cc/AB8B-9753]</w:t>
      </w:r>
    </w:p>
  </w:footnote>
  <w:footnote w:id="302">
    <w:p w14:paraId="196342D0" w14:textId="1836A896"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color w:val="000000"/>
          <w:szCs w:val="22"/>
        </w:rPr>
        <w:t xml:space="preserve">72 </w:t>
      </w:r>
      <w:r w:rsidRPr="00E26603">
        <w:rPr>
          <w:smallCaps/>
          <w:color w:val="000000"/>
          <w:szCs w:val="22"/>
        </w:rPr>
        <w:t>Tex. Jur. 3d</w:t>
      </w:r>
      <w:r w:rsidRPr="00E26603">
        <w:rPr>
          <w:color w:val="000000"/>
          <w:szCs w:val="22"/>
        </w:rPr>
        <w:t xml:space="preserve"> </w:t>
      </w:r>
      <w:r w:rsidRPr="00E26603">
        <w:rPr>
          <w:i/>
          <w:iCs/>
          <w:color w:val="000000"/>
          <w:szCs w:val="22"/>
        </w:rPr>
        <w:t>Trusts</w:t>
      </w:r>
      <w:r w:rsidRPr="00E26603">
        <w:rPr>
          <w:color w:val="000000"/>
          <w:szCs w:val="22"/>
        </w:rPr>
        <w:t xml:space="preserve"> § </w:t>
      </w:r>
      <w:r>
        <w:rPr>
          <w:color w:val="000000"/>
          <w:szCs w:val="22"/>
        </w:rPr>
        <w:t>23</w:t>
      </w:r>
      <w:r w:rsidRPr="00E26603">
        <w:rPr>
          <w:color w:val="000000"/>
          <w:szCs w:val="22"/>
        </w:rPr>
        <w:t>.</w:t>
      </w:r>
    </w:p>
  </w:footnote>
  <w:footnote w:id="303">
    <w:p w14:paraId="1006F657" w14:textId="694C9281"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62469D">
        <w:rPr>
          <w:i/>
          <w:iCs/>
          <w:color w:val="000000"/>
          <w:szCs w:val="22"/>
        </w:rPr>
        <w:t>See id</w:t>
      </w:r>
      <w:r w:rsidRPr="0062469D">
        <w:rPr>
          <w:i/>
          <w:iCs/>
          <w:color w:val="000000"/>
          <w:szCs w:val="22"/>
        </w:rPr>
        <w:t>.</w:t>
      </w:r>
      <w:r w:rsidRPr="0062469D">
        <w:rPr>
          <w:color w:val="000000"/>
          <w:szCs w:val="22"/>
        </w:rPr>
        <w:t xml:space="preserve">; </w:t>
      </w:r>
      <w:r w:rsidRPr="0062469D">
        <w:rPr>
          <w:iCs/>
          <w:color w:val="000000"/>
          <w:szCs w:val="22"/>
        </w:rPr>
        <w:t xml:space="preserve"> </w:t>
      </w:r>
      <w:r w:rsidRPr="0062469D">
        <w:rPr>
          <w:smallCaps/>
          <w:color w:val="000000"/>
          <w:szCs w:val="22"/>
        </w:rPr>
        <w:t xml:space="preserve">Tex. </w:t>
      </w:r>
      <w:r w:rsidRPr="0014127B">
        <w:rPr>
          <w:smallCaps/>
          <w:color w:val="000000"/>
          <w:szCs w:val="22"/>
        </w:rPr>
        <w:t>Prop</w:t>
      </w:r>
      <w:r w:rsidRPr="0062469D">
        <w:rPr>
          <w:smallCaps/>
          <w:color w:val="000000"/>
          <w:szCs w:val="22"/>
        </w:rPr>
        <w:t>. Code Ann.</w:t>
      </w:r>
      <w:r w:rsidRPr="0062469D">
        <w:rPr>
          <w:color w:val="000000"/>
          <w:szCs w:val="22"/>
        </w:rPr>
        <w:t xml:space="preserve"> § 112.035(a).</w:t>
      </w:r>
    </w:p>
  </w:footnote>
  <w:footnote w:id="304">
    <w:p w14:paraId="762513BC" w14:textId="4D63D5DB" w:rsidR="0070346C" w:rsidRPr="0003503C"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14127B">
        <w:rPr>
          <w:iCs/>
          <w:color w:val="000000"/>
          <w:szCs w:val="22"/>
        </w:rPr>
        <w:t>Nations Bank of Va. v. Grandy</w:t>
      </w:r>
      <w:r w:rsidRPr="00E26603">
        <w:rPr>
          <w:color w:val="000000"/>
          <w:szCs w:val="22"/>
        </w:rPr>
        <w:t>, 450 S.E.2d 140, 143–44 (Va. 1994</w:t>
      </w:r>
      <w:r w:rsidRPr="0003503C">
        <w:rPr>
          <w:color w:val="000000"/>
          <w:szCs w:val="22"/>
        </w:rPr>
        <w:t>).</w:t>
      </w:r>
    </w:p>
  </w:footnote>
  <w:footnote w:id="305">
    <w:p w14:paraId="077312FA" w14:textId="68E9488D" w:rsidR="0070346C" w:rsidRPr="00E26603" w:rsidRDefault="0070346C" w:rsidP="00561F7C">
      <w:pPr>
        <w:pStyle w:val="FootnoteText"/>
        <w:tabs>
          <w:tab w:val="clear" w:pos="600"/>
          <w:tab w:val="left" w:pos="605"/>
        </w:tabs>
        <w:spacing w:line="480" w:lineRule="auto"/>
        <w:rPr>
          <w:color w:val="000000"/>
          <w:szCs w:val="22"/>
        </w:rPr>
      </w:pPr>
      <w:r w:rsidRPr="0003503C">
        <w:rPr>
          <w:color w:val="000000"/>
          <w:szCs w:val="22"/>
        </w:rPr>
        <w:tab/>
      </w:r>
      <w:r w:rsidRPr="0003503C">
        <w:rPr>
          <w:rStyle w:val="FootnoteReference"/>
          <w:color w:val="000000"/>
          <w:sz w:val="16"/>
          <w:szCs w:val="22"/>
          <w:vertAlign w:val="baseline"/>
        </w:rPr>
        <w:footnoteRef/>
      </w:r>
      <w:r w:rsidRPr="0003503C">
        <w:rPr>
          <w:color w:val="000000"/>
          <w:szCs w:val="22"/>
        </w:rPr>
        <w:t>.</w:t>
      </w:r>
      <w:r w:rsidRPr="0003503C">
        <w:rPr>
          <w:color w:val="000000"/>
          <w:szCs w:val="22"/>
        </w:rPr>
        <w:tab/>
      </w:r>
      <w:r w:rsidRPr="0003503C">
        <w:rPr>
          <w:iCs/>
          <w:color w:val="000000"/>
          <w:szCs w:val="22"/>
        </w:rPr>
        <w:t>In re Family Trust of Windus</w:t>
      </w:r>
      <w:r>
        <w:rPr>
          <w:iCs/>
          <w:color w:val="000000"/>
          <w:szCs w:val="22"/>
        </w:rPr>
        <w:t xml:space="preserve">, No. 07-2006, 2008 WL 3916438, at *2 </w:t>
      </w:r>
      <w:r w:rsidRPr="0003503C">
        <w:rPr>
          <w:color w:val="000000"/>
          <w:szCs w:val="22"/>
        </w:rPr>
        <w:t xml:space="preserve">(Iowa App. 2008); </w:t>
      </w:r>
      <w:r w:rsidRPr="0014127B">
        <w:rPr>
          <w:i/>
          <w:color w:val="000000"/>
          <w:szCs w:val="22"/>
        </w:rPr>
        <w:t>b</w:t>
      </w:r>
      <w:r w:rsidRPr="0003503C">
        <w:rPr>
          <w:i/>
          <w:color w:val="000000"/>
          <w:szCs w:val="22"/>
        </w:rPr>
        <w:t>ut see</w:t>
      </w:r>
      <w:r w:rsidRPr="0003503C">
        <w:rPr>
          <w:color w:val="000000"/>
          <w:szCs w:val="22"/>
        </w:rPr>
        <w:t>,</w:t>
      </w:r>
      <w:r w:rsidRPr="0003503C">
        <w:rPr>
          <w:i/>
          <w:color w:val="000000"/>
          <w:szCs w:val="22"/>
        </w:rPr>
        <w:t xml:space="preserve"> </w:t>
      </w:r>
      <w:r w:rsidRPr="0003503C">
        <w:rPr>
          <w:iCs/>
          <w:color w:val="000000"/>
          <w:szCs w:val="22"/>
        </w:rPr>
        <w:t>In re Estate of Morgridge</w:t>
      </w:r>
      <w:r w:rsidRPr="0003503C">
        <w:rPr>
          <w:color w:val="000000"/>
          <w:szCs w:val="22"/>
        </w:rPr>
        <w:t xml:space="preserve">, No. G036463, 2007 WL 1874332, at *5–7 (Cal. </w:t>
      </w:r>
      <w:r w:rsidRPr="0014127B">
        <w:rPr>
          <w:color w:val="000000"/>
          <w:szCs w:val="22"/>
        </w:rPr>
        <w:t xml:space="preserve">Ct. </w:t>
      </w:r>
      <w:r w:rsidRPr="0003503C">
        <w:rPr>
          <w:color w:val="000000"/>
          <w:szCs w:val="22"/>
        </w:rPr>
        <w:t>App. June 29, 2007) (holding that invasion of principal to pay a $71,000 credit card debt was not within the “support standard”).</w:t>
      </w:r>
    </w:p>
  </w:footnote>
  <w:footnote w:id="306">
    <w:p w14:paraId="64ABC813" w14:textId="3CE6B510"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color w:val="000000"/>
          <w:szCs w:val="22"/>
        </w:rPr>
        <w:t xml:space="preserve">Nations Bank of Va., N.A v. Estate of Grandy, 450 S.E.2d 140, 143-144 (Va. 1994); </w:t>
      </w:r>
      <w:r w:rsidRPr="0014127B">
        <w:rPr>
          <w:i/>
          <w:iCs/>
          <w:color w:val="000000"/>
          <w:szCs w:val="22"/>
        </w:rPr>
        <w:t>In re Family Trust of Windus</w:t>
      </w:r>
      <w:r w:rsidRPr="00E26603">
        <w:rPr>
          <w:color w:val="000000"/>
          <w:szCs w:val="22"/>
        </w:rPr>
        <w:t>, 2008 WL 3916438, at *2</w:t>
      </w:r>
      <w:r>
        <w:rPr>
          <w:color w:val="000000"/>
          <w:szCs w:val="22"/>
        </w:rPr>
        <w:t>.</w:t>
      </w:r>
      <w:r w:rsidRPr="00E26603">
        <w:rPr>
          <w:color w:val="000000"/>
          <w:szCs w:val="22"/>
        </w:rPr>
        <w:t xml:space="preserve"> </w:t>
      </w:r>
    </w:p>
  </w:footnote>
  <w:footnote w:id="307">
    <w:p w14:paraId="2D277724" w14:textId="79BCE85F" w:rsidR="0070346C" w:rsidRPr="0014127B"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Nations Bank Va., N.A.</w:t>
      </w:r>
      <w:r>
        <w:rPr>
          <w:color w:val="000000"/>
          <w:szCs w:val="22"/>
        </w:rPr>
        <w:t xml:space="preserve">, </w:t>
      </w:r>
      <w:r w:rsidRPr="00E26603">
        <w:rPr>
          <w:color w:val="000000"/>
          <w:szCs w:val="22"/>
        </w:rPr>
        <w:t xml:space="preserve">450 S.E.2d </w:t>
      </w:r>
      <w:r>
        <w:rPr>
          <w:color w:val="000000"/>
          <w:szCs w:val="22"/>
        </w:rPr>
        <w:t xml:space="preserve">at </w:t>
      </w:r>
      <w:r w:rsidRPr="00E26603">
        <w:rPr>
          <w:color w:val="000000"/>
          <w:szCs w:val="22"/>
        </w:rPr>
        <w:t>143-144</w:t>
      </w:r>
      <w:r>
        <w:rPr>
          <w:color w:val="000000"/>
          <w:szCs w:val="22"/>
        </w:rPr>
        <w:t xml:space="preserve">; </w:t>
      </w:r>
      <w:r w:rsidRPr="004369DB">
        <w:rPr>
          <w:i/>
          <w:iCs/>
          <w:color w:val="000000"/>
          <w:szCs w:val="22"/>
        </w:rPr>
        <w:t>In re Family Trust of Windus</w:t>
      </w:r>
      <w:r w:rsidRPr="00E26603">
        <w:rPr>
          <w:color w:val="000000"/>
          <w:szCs w:val="22"/>
        </w:rPr>
        <w:t>, 2008 WL 3916438, at *2</w:t>
      </w:r>
      <w:r>
        <w:rPr>
          <w:color w:val="000000"/>
          <w:szCs w:val="22"/>
        </w:rPr>
        <w:t>.</w:t>
      </w:r>
      <w:r w:rsidRPr="00E26603">
        <w:rPr>
          <w:color w:val="000000"/>
          <w:szCs w:val="22"/>
        </w:rPr>
        <w:t xml:space="preserve"> </w:t>
      </w:r>
    </w:p>
  </w:footnote>
  <w:footnote w:id="308">
    <w:p w14:paraId="5E126BAE" w14:textId="5F2B823D" w:rsidR="0070346C" w:rsidRPr="00E26603" w:rsidRDefault="0070346C" w:rsidP="00561F7C">
      <w:pPr>
        <w:pStyle w:val="FootnoteText"/>
        <w:tabs>
          <w:tab w:val="clear" w:pos="600"/>
          <w:tab w:val="left" w:pos="605"/>
        </w:tabs>
        <w:spacing w:line="480" w:lineRule="auto"/>
        <w:rPr>
          <w:i/>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Nations Bank Va., N.A.</w:t>
      </w:r>
      <w:r>
        <w:rPr>
          <w:color w:val="000000"/>
          <w:szCs w:val="22"/>
        </w:rPr>
        <w:t xml:space="preserve">, </w:t>
      </w:r>
      <w:r w:rsidRPr="00E26603">
        <w:rPr>
          <w:color w:val="000000"/>
          <w:szCs w:val="22"/>
        </w:rPr>
        <w:t xml:space="preserve">450 S.E.2d </w:t>
      </w:r>
      <w:r>
        <w:rPr>
          <w:color w:val="000000"/>
          <w:szCs w:val="22"/>
        </w:rPr>
        <w:t xml:space="preserve">at </w:t>
      </w:r>
      <w:r w:rsidRPr="00E26603">
        <w:rPr>
          <w:color w:val="000000"/>
          <w:szCs w:val="22"/>
        </w:rPr>
        <w:t>143-144</w:t>
      </w:r>
      <w:r>
        <w:rPr>
          <w:color w:val="000000"/>
          <w:szCs w:val="22"/>
        </w:rPr>
        <w:t xml:space="preserve">; </w:t>
      </w:r>
      <w:r w:rsidRPr="004369DB">
        <w:rPr>
          <w:i/>
          <w:iCs/>
          <w:color w:val="000000"/>
          <w:szCs w:val="22"/>
        </w:rPr>
        <w:t>In re Family Trust of Windus</w:t>
      </w:r>
      <w:r w:rsidRPr="00E26603">
        <w:rPr>
          <w:color w:val="000000"/>
          <w:szCs w:val="22"/>
        </w:rPr>
        <w:t>, 2008 WL 3916438, at *2</w:t>
      </w:r>
      <w:r>
        <w:rPr>
          <w:color w:val="000000"/>
          <w:szCs w:val="22"/>
        </w:rPr>
        <w:t>.</w:t>
      </w:r>
      <w:r w:rsidRPr="00E26603">
        <w:rPr>
          <w:color w:val="000000"/>
          <w:szCs w:val="22"/>
        </w:rPr>
        <w:t xml:space="preserve"> </w:t>
      </w:r>
    </w:p>
  </w:footnote>
  <w:footnote w:id="309">
    <w:p w14:paraId="03B9D69E" w14:textId="18414844"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 xml:space="preserve">See </w:t>
      </w:r>
      <w:r w:rsidRPr="00E26603">
        <w:rPr>
          <w:smallCaps/>
          <w:color w:val="000000"/>
          <w:szCs w:val="22"/>
        </w:rPr>
        <w:t>Restatement (Third) of Trusts</w:t>
      </w:r>
      <w:r>
        <w:rPr>
          <w:smallCaps/>
          <w:color w:val="000000"/>
          <w:szCs w:val="22"/>
        </w:rPr>
        <w:t>: Purposes for Which a Trust Can Be Created</w:t>
      </w:r>
      <w:r w:rsidRPr="00E26603">
        <w:rPr>
          <w:color w:val="000000"/>
          <w:szCs w:val="22"/>
        </w:rPr>
        <w:t xml:space="preserve"> § </w:t>
      </w:r>
      <w:r>
        <w:rPr>
          <w:color w:val="000000"/>
          <w:szCs w:val="22"/>
        </w:rPr>
        <w:t>27 (</w:t>
      </w:r>
      <w:r w:rsidRPr="004369DB">
        <w:rPr>
          <w:smallCaps/>
          <w:color w:val="000000"/>
          <w:szCs w:val="22"/>
        </w:rPr>
        <w:t>Am. Law. Inst</w:t>
      </w:r>
      <w:r>
        <w:rPr>
          <w:color w:val="000000"/>
          <w:szCs w:val="22"/>
        </w:rPr>
        <w:t>. 2003).</w:t>
      </w:r>
    </w:p>
  </w:footnote>
  <w:footnote w:id="310">
    <w:p w14:paraId="49629B50" w14:textId="00C24436" w:rsidR="0070346C" w:rsidRPr="0014127B" w:rsidRDefault="0070346C" w:rsidP="008C49FA">
      <w:pPr>
        <w:pStyle w:val="FootnoteText"/>
        <w:tabs>
          <w:tab w:val="clear" w:pos="600"/>
          <w:tab w:val="left" w:pos="605"/>
        </w:tabs>
        <w:spacing w:line="480" w:lineRule="auto"/>
        <w:rPr>
          <w:i/>
          <w:iCs/>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id. </w:t>
      </w:r>
    </w:p>
    <w:p w14:paraId="0B6B2E2A" w14:textId="173A84CD" w:rsidR="0070346C" w:rsidRPr="00E26603" w:rsidRDefault="0070346C" w:rsidP="00561F7C">
      <w:pPr>
        <w:pStyle w:val="FootnoteText"/>
        <w:tabs>
          <w:tab w:val="clear" w:pos="600"/>
          <w:tab w:val="left" w:pos="605"/>
        </w:tabs>
        <w:spacing w:line="480" w:lineRule="auto"/>
        <w:rPr>
          <w:color w:val="000000"/>
          <w:szCs w:val="22"/>
        </w:rPr>
      </w:pPr>
    </w:p>
  </w:footnote>
  <w:footnote w:id="311">
    <w:p w14:paraId="29D6AEAB" w14:textId="3C1F5C9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See id</w:t>
      </w:r>
      <w:r w:rsidRPr="003F1248">
        <w:rPr>
          <w:i/>
          <w:color w:val="000000"/>
          <w:szCs w:val="22"/>
        </w:rPr>
        <w:t>.</w:t>
      </w:r>
    </w:p>
  </w:footnote>
  <w:footnote w:id="312">
    <w:p w14:paraId="2BF78C72" w14:textId="58E23BB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14127B">
        <w:rPr>
          <w:i/>
          <w:iCs/>
          <w:color w:val="000000"/>
          <w:szCs w:val="22"/>
        </w:rPr>
        <w:t>See id</w:t>
      </w:r>
      <w:r>
        <w:rPr>
          <w:i/>
          <w:iCs/>
          <w:smallCaps/>
          <w:color w:val="000000"/>
          <w:szCs w:val="22"/>
        </w:rPr>
        <w:t>.</w:t>
      </w:r>
      <w:r>
        <w:rPr>
          <w:smallCaps/>
          <w:color w:val="000000"/>
          <w:szCs w:val="22"/>
        </w:rPr>
        <w:t xml:space="preserve">; </w:t>
      </w:r>
      <w:r w:rsidRPr="00E26603">
        <w:rPr>
          <w:smallCaps/>
          <w:color w:val="000000"/>
          <w:szCs w:val="22"/>
        </w:rPr>
        <w:t>Tex. Prop. Code Ann.</w:t>
      </w:r>
      <w:r w:rsidRPr="003F1248">
        <w:rPr>
          <w:color w:val="000000"/>
          <w:szCs w:val="22"/>
        </w:rPr>
        <w:t xml:space="preserve"> § 111.0035(</w:t>
      </w:r>
      <w:r w:rsidRPr="00E26603">
        <w:rPr>
          <w:color w:val="000000"/>
          <w:szCs w:val="22"/>
        </w:rPr>
        <w:t>a</w:t>
      </w:r>
      <w:r w:rsidRPr="003F1248">
        <w:rPr>
          <w:color w:val="000000"/>
          <w:szCs w:val="22"/>
        </w:rPr>
        <w:t>)</w:t>
      </w:r>
      <w:r>
        <w:rPr>
          <w:color w:val="000000"/>
          <w:szCs w:val="22"/>
        </w:rPr>
        <w:t>.</w:t>
      </w:r>
      <w:r w:rsidRPr="003F1248" w:rsidDel="003A2B98">
        <w:rPr>
          <w:color w:val="000000"/>
          <w:szCs w:val="22"/>
        </w:rPr>
        <w:t xml:space="preserve"> </w:t>
      </w:r>
    </w:p>
  </w:footnote>
  <w:footnote w:id="313">
    <w:p w14:paraId="52D3BF57" w14:textId="593631A7" w:rsidR="0070346C" w:rsidRPr="00051219"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14127B">
        <w:rPr>
          <w:color w:val="000000"/>
          <w:szCs w:val="22"/>
        </w:rPr>
        <w:t>Author introducing following provision example.</w:t>
      </w:r>
    </w:p>
  </w:footnote>
  <w:footnote w:id="314">
    <w:p w14:paraId="206042DA" w14:textId="69E0A95B"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color w:val="000000"/>
          <w:szCs w:val="22"/>
        </w:rPr>
        <w:t>Provision provided by Arielle Pragner.</w:t>
      </w:r>
    </w:p>
  </w:footnote>
  <w:footnote w:id="315">
    <w:p w14:paraId="27F15B4C" w14:textId="0F1BA8A4"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 xml:space="preserve">See </w:t>
      </w:r>
      <w:r w:rsidRPr="00E26603">
        <w:rPr>
          <w:smallCaps/>
          <w:color w:val="000000"/>
          <w:szCs w:val="22"/>
        </w:rPr>
        <w:t>Restatement (Third) of Trusts</w:t>
      </w:r>
      <w:r>
        <w:rPr>
          <w:smallCaps/>
          <w:color w:val="000000"/>
          <w:szCs w:val="22"/>
        </w:rPr>
        <w:t>: Duty to Keep Records and Provide Reports</w:t>
      </w:r>
      <w:r w:rsidRPr="00E26603">
        <w:rPr>
          <w:color w:val="000000"/>
          <w:szCs w:val="22"/>
        </w:rPr>
        <w:t xml:space="preserve"> § </w:t>
      </w:r>
      <w:r>
        <w:rPr>
          <w:color w:val="000000"/>
          <w:szCs w:val="22"/>
        </w:rPr>
        <w:t>83 (</w:t>
      </w:r>
      <w:r w:rsidRPr="004369DB">
        <w:rPr>
          <w:smallCaps/>
          <w:color w:val="000000"/>
          <w:szCs w:val="22"/>
        </w:rPr>
        <w:t>Am. Law. Inst</w:t>
      </w:r>
      <w:r>
        <w:rPr>
          <w:color w:val="000000"/>
          <w:szCs w:val="22"/>
        </w:rPr>
        <w:t xml:space="preserve">. 2007); </w:t>
      </w:r>
      <w:r w:rsidRPr="00E26603">
        <w:rPr>
          <w:iCs/>
          <w:color w:val="000000"/>
          <w:szCs w:val="22"/>
        </w:rPr>
        <w:t>Shannon v. Frost Nat’l Bank of San Antonio</w:t>
      </w:r>
      <w:r w:rsidRPr="00E26603">
        <w:rPr>
          <w:color w:val="000000"/>
          <w:szCs w:val="22"/>
        </w:rPr>
        <w:t xml:space="preserve">, 533 S.W.2d 389, 393 (Tex. App.—San Antonio 1975, </w:t>
      </w:r>
      <w:r w:rsidRPr="0014127B">
        <w:rPr>
          <w:iCs/>
          <w:color w:val="000000"/>
          <w:szCs w:val="22"/>
        </w:rPr>
        <w:t>writ ref’d n.r.e.</w:t>
      </w:r>
      <w:r w:rsidRPr="0094387C">
        <w:rPr>
          <w:iCs/>
          <w:color w:val="000000"/>
          <w:szCs w:val="22"/>
        </w:rPr>
        <w:t>).</w:t>
      </w:r>
    </w:p>
  </w:footnote>
  <w:footnote w:id="316">
    <w:p w14:paraId="5F6B385F" w14:textId="3BCC1170" w:rsidR="0070346C" w:rsidRPr="00960C66" w:rsidRDefault="0070346C">
      <w:pPr>
        <w:pStyle w:val="FootnoteText"/>
        <w:spacing w:line="480" w:lineRule="auto"/>
      </w:pPr>
      <w:r>
        <w:tab/>
      </w:r>
      <w:r w:rsidRPr="0014127B">
        <w:rPr>
          <w:rStyle w:val="FootnoteReference"/>
          <w:sz w:val="16"/>
          <w:szCs w:val="16"/>
          <w:vertAlign w:val="baseline"/>
        </w:rPr>
        <w:footnoteRef/>
      </w:r>
      <w:r>
        <w:t>.</w:t>
      </w:r>
      <w:r>
        <w:tab/>
      </w:r>
      <w:r>
        <w:rPr>
          <w:i/>
          <w:iCs/>
        </w:rPr>
        <w:t>Id</w:t>
      </w:r>
      <w:r w:rsidRPr="0014127B">
        <w:t>.</w:t>
      </w:r>
      <w:r>
        <w:t xml:space="preserve"> § 83</w:t>
      </w:r>
      <w:r w:rsidRPr="005B7FF2">
        <w:rPr>
          <w:smallCaps/>
          <w:color w:val="000000"/>
          <w:szCs w:val="22"/>
        </w:rPr>
        <w:t>.</w:t>
      </w:r>
    </w:p>
  </w:footnote>
  <w:footnote w:id="317">
    <w:p w14:paraId="71482BA1" w14:textId="25C59F12"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14127B">
        <w:rPr>
          <w:iCs/>
          <w:color w:val="000000"/>
          <w:szCs w:val="22"/>
        </w:rPr>
        <w:t>Corpus Christi Bank &amp; Trust v. Roberts</w:t>
      </w:r>
      <w:r w:rsidRPr="00E26603">
        <w:rPr>
          <w:color w:val="000000"/>
          <w:szCs w:val="22"/>
        </w:rPr>
        <w:t>, 587 S.W.2d 173, 187 (Tex.</w:t>
      </w:r>
      <w:r>
        <w:rPr>
          <w:color w:val="000000"/>
          <w:szCs w:val="22"/>
        </w:rPr>
        <w:t xml:space="preserve"> </w:t>
      </w:r>
      <w:r w:rsidRPr="00E26603">
        <w:rPr>
          <w:color w:val="000000"/>
          <w:szCs w:val="22"/>
        </w:rPr>
        <w:t xml:space="preserve">App.— Corpus Christi 1979), </w:t>
      </w:r>
      <w:r w:rsidRPr="00E26603">
        <w:rPr>
          <w:i/>
          <w:color w:val="000000"/>
          <w:szCs w:val="22"/>
        </w:rPr>
        <w:t>reformed in part and aff’d in part</w:t>
      </w:r>
      <w:r w:rsidRPr="00E26603">
        <w:rPr>
          <w:color w:val="000000"/>
          <w:szCs w:val="22"/>
        </w:rPr>
        <w:t>, 597 S.W.2d 752 (Tex. 1980).</w:t>
      </w:r>
    </w:p>
  </w:footnote>
  <w:footnote w:id="318">
    <w:p w14:paraId="78BEA217" w14:textId="100B70EF"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See id</w:t>
      </w:r>
      <w:r w:rsidRPr="003F1248">
        <w:rPr>
          <w:i/>
          <w:color w:val="000000"/>
          <w:szCs w:val="22"/>
        </w:rPr>
        <w:t>.</w:t>
      </w:r>
    </w:p>
  </w:footnote>
  <w:footnote w:id="319">
    <w:p w14:paraId="445D4E0E" w14:textId="5DA58784"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14127B">
        <w:rPr>
          <w:smallCaps/>
          <w:color w:val="000000"/>
          <w:szCs w:val="22"/>
        </w:rPr>
        <w:t>George Gleason Bogert et al.</w:t>
      </w:r>
      <w:r w:rsidRPr="00E26603">
        <w:rPr>
          <w:color w:val="000000"/>
          <w:szCs w:val="22"/>
        </w:rPr>
        <w:t xml:space="preserve">, </w:t>
      </w:r>
      <w:r w:rsidRPr="003F1248">
        <w:rPr>
          <w:smallCaps/>
          <w:color w:val="000000"/>
          <w:szCs w:val="22"/>
        </w:rPr>
        <w:t>Bogert’s The Law of Trusts and Trustees</w:t>
      </w:r>
      <w:r w:rsidRPr="00E26603">
        <w:rPr>
          <w:color w:val="000000"/>
          <w:szCs w:val="22"/>
        </w:rPr>
        <w:t xml:space="preserve"> § </w:t>
      </w:r>
      <w:r>
        <w:rPr>
          <w:color w:val="000000"/>
          <w:szCs w:val="22"/>
        </w:rPr>
        <w:t>811</w:t>
      </w:r>
      <w:r w:rsidRPr="00E26603">
        <w:rPr>
          <w:color w:val="000000"/>
          <w:szCs w:val="22"/>
        </w:rPr>
        <w:t xml:space="preserve"> (201</w:t>
      </w:r>
      <w:r>
        <w:rPr>
          <w:color w:val="000000"/>
          <w:szCs w:val="22"/>
        </w:rPr>
        <w:t>9</w:t>
      </w:r>
      <w:r w:rsidRPr="00E26603">
        <w:rPr>
          <w:color w:val="000000"/>
          <w:szCs w:val="22"/>
        </w:rPr>
        <w:t>).</w:t>
      </w:r>
    </w:p>
  </w:footnote>
  <w:footnote w:id="320">
    <w:p w14:paraId="4A88591C" w14:textId="547E3471"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See id</w:t>
      </w:r>
      <w:r w:rsidRPr="003F1248">
        <w:rPr>
          <w:i/>
          <w:color w:val="000000"/>
          <w:szCs w:val="22"/>
        </w:rPr>
        <w:t>.</w:t>
      </w:r>
    </w:p>
  </w:footnote>
  <w:footnote w:id="321">
    <w:p w14:paraId="6BCF61D5" w14:textId="45033D18" w:rsidR="0070346C" w:rsidRPr="0094387C" w:rsidRDefault="0070346C" w:rsidP="00561F7C">
      <w:pPr>
        <w:pStyle w:val="FootnoteText"/>
        <w:tabs>
          <w:tab w:val="clear" w:pos="600"/>
          <w:tab w:val="left" w:pos="605"/>
        </w:tabs>
        <w:spacing w:line="480" w:lineRule="auto"/>
        <w:rPr>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color w:val="000000"/>
          <w:szCs w:val="22"/>
        </w:rPr>
        <w:t xml:space="preserve">Nancy S. Freeman, </w:t>
      </w:r>
      <w:r w:rsidRPr="00E26603">
        <w:rPr>
          <w:i/>
          <w:color w:val="000000"/>
          <w:szCs w:val="22"/>
        </w:rPr>
        <w:t>Trust Me: Practical Advice for Drafting Florida Trusts</w:t>
      </w:r>
      <w:r w:rsidRPr="00E26603">
        <w:rPr>
          <w:color w:val="000000"/>
          <w:szCs w:val="22"/>
        </w:rPr>
        <w:t xml:space="preserve">, 83 </w:t>
      </w:r>
      <w:r w:rsidRPr="00E26603">
        <w:rPr>
          <w:smallCaps/>
          <w:color w:val="000000"/>
          <w:szCs w:val="22"/>
        </w:rPr>
        <w:t>Fla. B.J.</w:t>
      </w:r>
      <w:r w:rsidRPr="00E26603">
        <w:rPr>
          <w:color w:val="000000"/>
          <w:szCs w:val="22"/>
        </w:rPr>
        <w:t xml:space="preserve"> 20, 22 n.9 (May 2009)</w:t>
      </w:r>
      <w:r>
        <w:rPr>
          <w:color w:val="000000"/>
          <w:szCs w:val="22"/>
        </w:rPr>
        <w:t xml:space="preserve"> </w:t>
      </w:r>
      <w:r w:rsidRPr="0014127B">
        <w:rPr>
          <w:color w:val="000000"/>
        </w:rPr>
        <w:t>https://www.floridabar.org/the-florida-bar-journal/trust-me-practical-advice-for-drafting-florida-trusts/</w:t>
      </w:r>
      <w:r>
        <w:rPr>
          <w:color w:val="000000"/>
          <w:szCs w:val="22"/>
        </w:rPr>
        <w:t xml:space="preserve"> [perma.cc//CJT8-5USN].</w:t>
      </w:r>
    </w:p>
  </w:footnote>
  <w:footnote w:id="322">
    <w:p w14:paraId="0DE92058" w14:textId="35F1F9A3"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id. </w:t>
      </w:r>
    </w:p>
  </w:footnote>
  <w:footnote w:id="323">
    <w:p w14:paraId="438A7C1A" w14:textId="08AD3758"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See id</w:t>
      </w:r>
      <w:r w:rsidRPr="003F1248">
        <w:rPr>
          <w:i/>
          <w:color w:val="000000"/>
          <w:szCs w:val="22"/>
        </w:rPr>
        <w:t>.</w:t>
      </w:r>
    </w:p>
  </w:footnote>
  <w:footnote w:id="324">
    <w:p w14:paraId="32C7CAC3" w14:textId="1F02C100"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smallCaps/>
          <w:color w:val="000000"/>
          <w:szCs w:val="22"/>
        </w:rPr>
        <w:t>Tex. Fam. Code</w:t>
      </w:r>
      <w:r w:rsidRPr="00E26603">
        <w:rPr>
          <w:color w:val="000000"/>
          <w:szCs w:val="22"/>
        </w:rPr>
        <w:t xml:space="preserve"> § 154.005.</w:t>
      </w:r>
    </w:p>
  </w:footnote>
  <w:footnote w:id="325">
    <w:p w14:paraId="35BA6219" w14:textId="3669D6A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sidRPr="003F1248">
        <w:rPr>
          <w:iCs/>
          <w:color w:val="000000"/>
          <w:szCs w:val="22"/>
        </w:rPr>
        <w:t xml:space="preserve"> </w:t>
      </w:r>
      <w:r w:rsidRPr="00E26603">
        <w:rPr>
          <w:color w:val="000000"/>
          <w:szCs w:val="22"/>
        </w:rPr>
        <w:t xml:space="preserve">Kiplinger, </w:t>
      </w:r>
      <w:r w:rsidRPr="00E26603">
        <w:rPr>
          <w:i/>
          <w:iCs/>
          <w:color w:val="000000"/>
          <w:szCs w:val="22"/>
        </w:rPr>
        <w:t xml:space="preserve">Selecting the Right Trustee and Protector </w:t>
      </w:r>
      <w:r>
        <w:rPr>
          <w:i/>
          <w:iCs/>
          <w:color w:val="000000"/>
          <w:szCs w:val="22"/>
        </w:rPr>
        <w:t>f</w:t>
      </w:r>
      <w:r w:rsidRPr="00E26603">
        <w:rPr>
          <w:i/>
          <w:iCs/>
          <w:color w:val="000000"/>
          <w:szCs w:val="22"/>
        </w:rPr>
        <w:t>or a Substance Abuse Trust</w:t>
      </w:r>
      <w:r w:rsidRPr="00E26603">
        <w:rPr>
          <w:color w:val="000000"/>
          <w:szCs w:val="22"/>
        </w:rPr>
        <w:t xml:space="preserve">, </w:t>
      </w:r>
      <w:r w:rsidRPr="003F1248">
        <w:rPr>
          <w:szCs w:val="22"/>
        </w:rPr>
        <w:t>www.kiplinger.com/article/retirement/T021-C032-5014-Selecting-Right-Trustee-For-Substance-Abuse-Trust.html</w:t>
      </w:r>
      <w:r w:rsidRPr="00E26603">
        <w:rPr>
          <w:color w:val="000000"/>
          <w:szCs w:val="22"/>
        </w:rPr>
        <w:t xml:space="preserve"> </w:t>
      </w:r>
      <w:r>
        <w:rPr>
          <w:color w:val="000000"/>
          <w:szCs w:val="22"/>
        </w:rPr>
        <w:t xml:space="preserve">[perma.cc/H7US-25V9] </w:t>
      </w:r>
      <w:r w:rsidRPr="00E26603">
        <w:rPr>
          <w:color w:val="000000"/>
          <w:szCs w:val="22"/>
        </w:rPr>
        <w:t>(last visited Jan. 21, 2020)</w:t>
      </w:r>
      <w:r>
        <w:rPr>
          <w:color w:val="000000"/>
          <w:szCs w:val="22"/>
        </w:rPr>
        <w:t>.</w:t>
      </w:r>
    </w:p>
  </w:footnote>
  <w:footnote w:id="326">
    <w:p w14:paraId="4A5228F5" w14:textId="59336FF1"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See id</w:t>
      </w:r>
      <w:r w:rsidRPr="003F1248">
        <w:rPr>
          <w:i/>
          <w:color w:val="000000"/>
          <w:szCs w:val="22"/>
        </w:rPr>
        <w:t>.</w:t>
      </w:r>
    </w:p>
  </w:footnote>
  <w:footnote w:id="327">
    <w:p w14:paraId="4CFA0A9B" w14:textId="18513D0C"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See id</w:t>
      </w:r>
      <w:r w:rsidRPr="003F1248">
        <w:rPr>
          <w:i/>
          <w:color w:val="000000"/>
          <w:szCs w:val="22"/>
        </w:rPr>
        <w:t>.</w:t>
      </w:r>
    </w:p>
  </w:footnote>
  <w:footnote w:id="328">
    <w:p w14:paraId="2F75C0B7" w14:textId="2EEE3F72"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See id</w:t>
      </w:r>
      <w:r w:rsidRPr="003F1248">
        <w:rPr>
          <w:i/>
          <w:color w:val="000000"/>
          <w:szCs w:val="22"/>
        </w:rPr>
        <w:t>.</w:t>
      </w:r>
    </w:p>
  </w:footnote>
  <w:footnote w:id="329">
    <w:p w14:paraId="536EEF3E" w14:textId="21F4FC7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See id</w:t>
      </w:r>
      <w:r w:rsidRPr="003F1248">
        <w:rPr>
          <w:i/>
          <w:color w:val="000000"/>
          <w:szCs w:val="22"/>
        </w:rPr>
        <w:t>.</w:t>
      </w:r>
    </w:p>
  </w:footnote>
  <w:footnote w:id="330">
    <w:p w14:paraId="61DCF14B" w14:textId="0A05E7B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See id</w:t>
      </w:r>
      <w:r w:rsidRPr="003F1248">
        <w:rPr>
          <w:i/>
          <w:color w:val="000000"/>
          <w:szCs w:val="22"/>
        </w:rPr>
        <w:t>.</w:t>
      </w:r>
    </w:p>
  </w:footnote>
  <w:footnote w:id="331">
    <w:p w14:paraId="7421A6EE" w14:textId="09C140A2"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See id</w:t>
      </w:r>
      <w:r w:rsidRPr="003F1248">
        <w:rPr>
          <w:i/>
          <w:color w:val="000000"/>
          <w:szCs w:val="22"/>
        </w:rPr>
        <w:t>.</w:t>
      </w:r>
    </w:p>
  </w:footnote>
  <w:footnote w:id="332">
    <w:p w14:paraId="4A0DECC0" w14:textId="155C8542"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color w:val="000000"/>
          <w:szCs w:val="22"/>
        </w:rPr>
        <w:t xml:space="preserve">Jeremy Burke and Skye Gould, </w:t>
      </w:r>
      <w:r w:rsidRPr="00E26603">
        <w:rPr>
          <w:i/>
          <w:iCs/>
          <w:color w:val="000000"/>
          <w:szCs w:val="22"/>
        </w:rPr>
        <w:t>States Where Marijuana is Legal</w:t>
      </w:r>
      <w:r w:rsidRPr="00E26603">
        <w:rPr>
          <w:color w:val="000000"/>
          <w:szCs w:val="22"/>
        </w:rPr>
        <w:t xml:space="preserve">, </w:t>
      </w:r>
      <w:r w:rsidRPr="00E26603">
        <w:rPr>
          <w:smallCaps/>
          <w:color w:val="000000"/>
          <w:szCs w:val="22"/>
        </w:rPr>
        <w:t>Business Insider</w:t>
      </w:r>
      <w:r w:rsidRPr="00E26603">
        <w:rPr>
          <w:color w:val="000000"/>
          <w:szCs w:val="22"/>
        </w:rPr>
        <w:t xml:space="preserve"> (Jan. 1, 2020, 7:41 AM), www.businessinsider.com/legal-marijuana-states-2018-1</w:t>
      </w:r>
      <w:r>
        <w:rPr>
          <w:color w:val="000000"/>
          <w:szCs w:val="22"/>
        </w:rPr>
        <w:t>[perma.cc/G8A4-TC45].</w:t>
      </w:r>
    </w:p>
  </w:footnote>
  <w:footnote w:id="333">
    <w:p w14:paraId="134057FF" w14:textId="1EDF95CB"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color w:val="000000"/>
          <w:szCs w:val="22"/>
        </w:rPr>
        <w:t xml:space="preserve">Wayne Buckwalter, </w:t>
      </w:r>
      <w:r w:rsidRPr="00E26603">
        <w:rPr>
          <w:i/>
          <w:iCs/>
          <w:color w:val="000000"/>
          <w:szCs w:val="22"/>
        </w:rPr>
        <w:t>An Important Family Matter, Addiction Professional</w:t>
      </w:r>
      <w:r w:rsidRPr="003F1248">
        <w:rPr>
          <w:iCs/>
          <w:color w:val="000000"/>
          <w:szCs w:val="22"/>
        </w:rPr>
        <w:t xml:space="preserve"> </w:t>
      </w:r>
      <w:r w:rsidRPr="00E26603">
        <w:rPr>
          <w:color w:val="000000"/>
          <w:szCs w:val="22"/>
        </w:rPr>
        <w:t xml:space="preserve">(Feb. 1, 2011) </w:t>
      </w:r>
      <w:r w:rsidRPr="0014127B">
        <w:rPr>
          <w:color w:val="000000"/>
        </w:rPr>
        <w:t>www.psychcongress.com/article/important-family-matter</w:t>
      </w:r>
      <w:r>
        <w:rPr>
          <w:color w:val="000000"/>
          <w:szCs w:val="22"/>
        </w:rPr>
        <w:t xml:space="preserve"> [perma.cc/55C3-PAKB].</w:t>
      </w:r>
    </w:p>
  </w:footnote>
  <w:footnote w:id="334">
    <w:p w14:paraId="267C87BD" w14:textId="336B9373"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See id</w:t>
      </w:r>
      <w:r w:rsidRPr="003F1248">
        <w:rPr>
          <w:i/>
          <w:color w:val="000000"/>
          <w:szCs w:val="22"/>
        </w:rPr>
        <w:t>.</w:t>
      </w:r>
    </w:p>
  </w:footnote>
  <w:footnote w:id="335">
    <w:p w14:paraId="127016AF" w14:textId="02824FD0"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sidRPr="003F1248">
        <w:rPr>
          <w:iCs/>
          <w:color w:val="000000"/>
          <w:szCs w:val="22"/>
        </w:rPr>
        <w:t xml:space="preserve"> </w:t>
      </w:r>
      <w:r w:rsidRPr="00E26603">
        <w:rPr>
          <w:color w:val="000000"/>
          <w:szCs w:val="22"/>
        </w:rPr>
        <w:t xml:space="preserve">Chris Fov, </w:t>
      </w:r>
      <w:r w:rsidRPr="00E26603">
        <w:rPr>
          <w:i/>
          <w:iCs/>
          <w:color w:val="000000"/>
          <w:szCs w:val="22"/>
        </w:rPr>
        <w:t>Got a Substance Abuse Trust? Learn About the Benefits</w:t>
      </w:r>
      <w:r w:rsidRPr="00E26603">
        <w:rPr>
          <w:color w:val="000000"/>
          <w:szCs w:val="22"/>
        </w:rPr>
        <w:t xml:space="preserve">, </w:t>
      </w:r>
      <w:r w:rsidRPr="00E26603">
        <w:rPr>
          <w:smallCaps/>
          <w:color w:val="000000"/>
          <w:szCs w:val="22"/>
        </w:rPr>
        <w:t>FHE Health</w:t>
      </w:r>
      <w:r w:rsidRPr="003F1248">
        <w:rPr>
          <w:color w:val="000000"/>
          <w:szCs w:val="22"/>
        </w:rPr>
        <w:t xml:space="preserve"> (</w:t>
      </w:r>
      <w:r w:rsidRPr="00E26603">
        <w:rPr>
          <w:color w:val="000000"/>
          <w:szCs w:val="22"/>
        </w:rPr>
        <w:t xml:space="preserve">Apr. 29, 2019), </w:t>
      </w:r>
      <w:r w:rsidRPr="0014127B">
        <w:rPr>
          <w:color w:val="000000"/>
        </w:rPr>
        <w:t>www.fherehab.com/learning/substance-abuse-trust-fund-benefits/</w:t>
      </w:r>
      <w:r>
        <w:rPr>
          <w:color w:val="000000"/>
          <w:szCs w:val="22"/>
        </w:rPr>
        <w:t xml:space="preserve"> [perma.cc/65Z5-H5Y6].</w:t>
      </w:r>
    </w:p>
  </w:footnote>
  <w:footnote w:id="336">
    <w:p w14:paraId="7122F3D0" w14:textId="077FBFED"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See id</w:t>
      </w:r>
      <w:r w:rsidRPr="003F1248">
        <w:rPr>
          <w:i/>
          <w:color w:val="000000"/>
          <w:szCs w:val="22"/>
        </w:rPr>
        <w:t>.</w:t>
      </w:r>
    </w:p>
  </w:footnote>
  <w:footnote w:id="337">
    <w:p w14:paraId="64F07443" w14:textId="56B0DBA0"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See id</w:t>
      </w:r>
      <w:r w:rsidRPr="003F1248">
        <w:rPr>
          <w:i/>
          <w:color w:val="000000"/>
          <w:szCs w:val="22"/>
        </w:rPr>
        <w:t>.</w:t>
      </w:r>
    </w:p>
  </w:footnote>
  <w:footnote w:id="338">
    <w:p w14:paraId="77A9185C" w14:textId="7AADFE84"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See id</w:t>
      </w:r>
      <w:r w:rsidRPr="003F1248">
        <w:rPr>
          <w:i/>
          <w:color w:val="000000"/>
          <w:szCs w:val="22"/>
        </w:rPr>
        <w:t>.</w:t>
      </w:r>
    </w:p>
  </w:footnote>
  <w:footnote w:id="339">
    <w:p w14:paraId="2D188273" w14:textId="28F0017E" w:rsidR="0070346C" w:rsidRPr="0014127B" w:rsidRDefault="0070346C" w:rsidP="00561F7C">
      <w:pPr>
        <w:pStyle w:val="FootnoteText"/>
        <w:tabs>
          <w:tab w:val="clear" w:pos="600"/>
          <w:tab w:val="left" w:pos="605"/>
        </w:tabs>
        <w:spacing w:line="480" w:lineRule="auto"/>
        <w:rPr>
          <w:color w:val="000000"/>
          <w:szCs w:val="22"/>
          <w:lang w:val="fr-FR"/>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color w:val="000000"/>
          <w:szCs w:val="22"/>
        </w:rPr>
        <w:t xml:space="preserve">Lee Financial, </w:t>
      </w:r>
      <w:r w:rsidRPr="00E26603">
        <w:rPr>
          <w:i/>
          <w:iCs/>
          <w:color w:val="000000"/>
          <w:szCs w:val="22"/>
        </w:rPr>
        <w:t xml:space="preserve">What is a Trust Protector and </w:t>
      </w:r>
      <w:r w:rsidRPr="00E26603">
        <w:rPr>
          <w:i/>
          <w:iCs/>
          <w:color w:val="000000"/>
          <w:szCs w:val="22"/>
        </w:rPr>
        <w:t>Advisor?</w:t>
      </w:r>
      <w:r w:rsidRPr="00E26603">
        <w:rPr>
          <w:color w:val="000000"/>
          <w:szCs w:val="22"/>
        </w:rPr>
        <w:t xml:space="preserve">, </w:t>
      </w:r>
      <w:r w:rsidRPr="003F1248">
        <w:rPr>
          <w:szCs w:val="22"/>
        </w:rPr>
        <w:t>www.leefin.com/what-is-a-trust-protector-and-advisor/(last</w:t>
      </w:r>
      <w:r w:rsidRPr="00E26603">
        <w:rPr>
          <w:color w:val="000000"/>
          <w:szCs w:val="22"/>
        </w:rPr>
        <w:t xml:space="preserve"> visited Jan. 21, 2020)</w:t>
      </w:r>
      <w:r>
        <w:rPr>
          <w:color w:val="000000"/>
          <w:szCs w:val="22"/>
        </w:rPr>
        <w:t xml:space="preserve">. </w:t>
      </w:r>
      <w:r w:rsidRPr="0014127B">
        <w:rPr>
          <w:color w:val="000000"/>
          <w:szCs w:val="22"/>
          <w:lang w:val="fr-FR"/>
        </w:rPr>
        <w:t>[https;//perma.cc/ATL2-FP8A].</w:t>
      </w:r>
    </w:p>
  </w:footnote>
  <w:footnote w:id="340">
    <w:p w14:paraId="20514787" w14:textId="6DE145E4" w:rsidR="0070346C" w:rsidRPr="0014127B" w:rsidRDefault="0070346C" w:rsidP="00561F7C">
      <w:pPr>
        <w:pStyle w:val="FootnoteText"/>
        <w:tabs>
          <w:tab w:val="clear" w:pos="600"/>
          <w:tab w:val="left" w:pos="605"/>
        </w:tabs>
        <w:spacing w:line="480" w:lineRule="auto"/>
        <w:rPr>
          <w:color w:val="000000"/>
          <w:szCs w:val="22"/>
          <w:lang w:val="fr-FR"/>
        </w:rPr>
      </w:pPr>
      <w:r w:rsidRPr="0014127B">
        <w:rPr>
          <w:color w:val="000000"/>
          <w:szCs w:val="22"/>
          <w:lang w:val="fr-FR"/>
        </w:rPr>
        <w:tab/>
      </w:r>
      <w:r w:rsidRPr="00E26603">
        <w:rPr>
          <w:rStyle w:val="FootnoteReference"/>
          <w:color w:val="000000"/>
          <w:sz w:val="16"/>
          <w:szCs w:val="22"/>
          <w:vertAlign w:val="baseline"/>
        </w:rPr>
        <w:footnoteRef/>
      </w:r>
      <w:r w:rsidRPr="0014127B">
        <w:rPr>
          <w:color w:val="000000"/>
          <w:szCs w:val="22"/>
          <w:lang w:val="fr-FR"/>
        </w:rPr>
        <w:t>.</w:t>
      </w:r>
      <w:r w:rsidRPr="0014127B">
        <w:rPr>
          <w:color w:val="000000"/>
          <w:szCs w:val="22"/>
          <w:lang w:val="fr-FR"/>
        </w:rPr>
        <w:tab/>
      </w:r>
      <w:r w:rsidRPr="0014127B">
        <w:rPr>
          <w:i/>
          <w:iCs/>
          <w:color w:val="000000"/>
          <w:szCs w:val="22"/>
          <w:lang w:val="fr-FR"/>
        </w:rPr>
        <w:t xml:space="preserve">See </w:t>
      </w:r>
      <w:r w:rsidRPr="0014127B">
        <w:rPr>
          <w:smallCaps/>
          <w:color w:val="000000"/>
          <w:szCs w:val="22"/>
          <w:lang w:val="fr-FR"/>
        </w:rPr>
        <w:t>Bogert et al</w:t>
      </w:r>
      <w:r w:rsidRPr="0014127B">
        <w:rPr>
          <w:color w:val="000000"/>
          <w:szCs w:val="22"/>
          <w:lang w:val="fr-FR"/>
        </w:rPr>
        <w:t xml:space="preserve">., </w:t>
      </w:r>
      <w:r w:rsidRPr="0014127B">
        <w:rPr>
          <w:i/>
          <w:iCs/>
          <w:color w:val="000000"/>
          <w:szCs w:val="22"/>
          <w:lang w:val="fr-FR"/>
        </w:rPr>
        <w:t>supra</w:t>
      </w:r>
      <w:r w:rsidRPr="0014127B">
        <w:rPr>
          <w:color w:val="000000"/>
          <w:szCs w:val="22"/>
          <w:lang w:val="fr-FR"/>
        </w:rPr>
        <w:t xml:space="preserve"> note</w:t>
      </w:r>
      <w:r w:rsidRPr="0014127B">
        <w:rPr>
          <w:smallCaps/>
          <w:color w:val="000000"/>
          <w:szCs w:val="22"/>
          <w:lang w:val="fr-FR"/>
        </w:rPr>
        <w:t xml:space="preserve"> </w:t>
      </w:r>
      <w:r>
        <w:rPr>
          <w:smallCaps/>
          <w:color w:val="000000"/>
          <w:szCs w:val="22"/>
        </w:rPr>
        <w:fldChar w:fldCharType="begin"/>
      </w:r>
      <w:r w:rsidRPr="0014127B">
        <w:rPr>
          <w:smallCaps/>
          <w:color w:val="000000"/>
          <w:szCs w:val="22"/>
          <w:lang w:val="fr-FR"/>
        </w:rPr>
        <w:instrText xml:space="preserve"> NOTEREF _Ref34228086 \h </w:instrText>
      </w:r>
      <w:r>
        <w:rPr>
          <w:smallCaps/>
          <w:color w:val="000000"/>
          <w:szCs w:val="22"/>
        </w:rPr>
      </w:r>
      <w:r>
        <w:rPr>
          <w:smallCaps/>
          <w:color w:val="000000"/>
          <w:szCs w:val="22"/>
        </w:rPr>
        <w:fldChar w:fldCharType="separate"/>
      </w:r>
      <w:r w:rsidRPr="0014127B">
        <w:rPr>
          <w:smallCaps/>
          <w:color w:val="000000"/>
          <w:szCs w:val="22"/>
          <w:lang w:val="fr-FR"/>
        </w:rPr>
        <w:t>324</w:t>
      </w:r>
      <w:r>
        <w:rPr>
          <w:smallCaps/>
          <w:color w:val="000000"/>
          <w:szCs w:val="22"/>
        </w:rPr>
        <w:fldChar w:fldCharType="end"/>
      </w:r>
      <w:r w:rsidRPr="0014127B">
        <w:rPr>
          <w:smallCaps/>
          <w:color w:val="000000"/>
          <w:szCs w:val="22"/>
          <w:lang w:val="fr-FR"/>
        </w:rPr>
        <w:t>, § 137.</w:t>
      </w:r>
    </w:p>
  </w:footnote>
  <w:footnote w:id="341">
    <w:p w14:paraId="6931C009" w14:textId="3A47AA8C" w:rsidR="0070346C" w:rsidRPr="00E26603" w:rsidRDefault="0070346C" w:rsidP="00561F7C">
      <w:pPr>
        <w:pStyle w:val="FootnoteText"/>
        <w:tabs>
          <w:tab w:val="clear" w:pos="600"/>
          <w:tab w:val="left" w:pos="605"/>
        </w:tabs>
        <w:spacing w:line="480" w:lineRule="auto"/>
        <w:rPr>
          <w:color w:val="000000"/>
          <w:szCs w:val="22"/>
        </w:rPr>
      </w:pPr>
      <w:r w:rsidRPr="0014127B">
        <w:rPr>
          <w:color w:val="000000"/>
          <w:szCs w:val="22"/>
          <w:lang w:val="fr-FR"/>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See id</w:t>
      </w:r>
      <w:r w:rsidRPr="003F1248">
        <w:rPr>
          <w:i/>
          <w:color w:val="000000"/>
          <w:szCs w:val="22"/>
        </w:rPr>
        <w:t>.</w:t>
      </w:r>
    </w:p>
  </w:footnote>
  <w:footnote w:id="342">
    <w:p w14:paraId="34A109BD" w14:textId="7B4E929A"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See id</w:t>
      </w:r>
      <w:r w:rsidRPr="003F1248">
        <w:rPr>
          <w:i/>
          <w:color w:val="000000"/>
          <w:szCs w:val="22"/>
        </w:rPr>
        <w:t>.</w:t>
      </w:r>
    </w:p>
  </w:footnote>
  <w:footnote w:id="343">
    <w:p w14:paraId="20FF63CA" w14:textId="7643214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See</w:t>
      </w:r>
      <w:r>
        <w:rPr>
          <w:i/>
          <w:color w:val="000000"/>
          <w:szCs w:val="22"/>
        </w:rPr>
        <w:t xml:space="preserve"> i</w:t>
      </w:r>
      <w:r w:rsidRPr="003F1248">
        <w:rPr>
          <w:i/>
          <w:color w:val="000000"/>
          <w:szCs w:val="22"/>
        </w:rPr>
        <w:t>d.</w:t>
      </w:r>
    </w:p>
  </w:footnote>
  <w:footnote w:id="344">
    <w:p w14:paraId="00A404D8" w14:textId="08609EE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 xml:space="preserve">See </w:t>
      </w:r>
      <w:r>
        <w:rPr>
          <w:i/>
          <w:iCs/>
          <w:color w:val="000000"/>
          <w:szCs w:val="22"/>
        </w:rPr>
        <w:t>id</w:t>
      </w:r>
      <w:r>
        <w:rPr>
          <w:color w:val="000000"/>
          <w:szCs w:val="22"/>
        </w:rPr>
        <w:t>.</w:t>
      </w:r>
      <w:r>
        <w:rPr>
          <w:i/>
          <w:iCs/>
          <w:color w:val="000000"/>
          <w:szCs w:val="22"/>
        </w:rPr>
        <w:t xml:space="preserve"> </w:t>
      </w:r>
    </w:p>
  </w:footnote>
  <w:footnote w:id="345">
    <w:p w14:paraId="2F5A7862" w14:textId="7DBCAC00"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smallCaps/>
          <w:color w:val="000000"/>
          <w:szCs w:val="22"/>
        </w:rPr>
        <w:t>Tex.</w:t>
      </w:r>
      <w:r>
        <w:rPr>
          <w:smallCaps/>
          <w:color w:val="000000"/>
          <w:szCs w:val="22"/>
        </w:rPr>
        <w:t xml:space="preserve"> Prop.</w:t>
      </w:r>
      <w:r w:rsidRPr="00E26603">
        <w:rPr>
          <w:smallCaps/>
          <w:color w:val="000000"/>
          <w:szCs w:val="22"/>
        </w:rPr>
        <w:t xml:space="preserve"> Code</w:t>
      </w:r>
      <w:r>
        <w:rPr>
          <w:smallCaps/>
          <w:color w:val="000000"/>
          <w:szCs w:val="22"/>
        </w:rPr>
        <w:t xml:space="preserve"> Ann.</w:t>
      </w:r>
      <w:r w:rsidRPr="00E26603">
        <w:rPr>
          <w:color w:val="000000"/>
          <w:szCs w:val="22"/>
        </w:rPr>
        <w:t xml:space="preserve"> </w:t>
      </w:r>
      <w:r w:rsidRPr="00E26603">
        <w:rPr>
          <w:color w:val="000000"/>
          <w:szCs w:val="22"/>
          <w:lang w:val="fr-FR"/>
        </w:rPr>
        <w:t xml:space="preserve">§ </w:t>
      </w:r>
      <w:r w:rsidRPr="00E26603">
        <w:rPr>
          <w:color w:val="000000"/>
          <w:szCs w:val="22"/>
        </w:rPr>
        <w:t>114.0031(d).</w:t>
      </w:r>
    </w:p>
  </w:footnote>
  <w:footnote w:id="346">
    <w:p w14:paraId="3CC91DFF" w14:textId="395C9ED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sidRPr="004369DB">
        <w:rPr>
          <w:smallCaps/>
          <w:color w:val="000000"/>
          <w:szCs w:val="22"/>
        </w:rPr>
        <w:t>Bogert et al</w:t>
      </w:r>
      <w:r w:rsidRPr="00E26603">
        <w:rPr>
          <w:color w:val="000000"/>
          <w:szCs w:val="22"/>
        </w:rPr>
        <w:t xml:space="preserve">., </w:t>
      </w:r>
      <w:r w:rsidRPr="004369DB">
        <w:rPr>
          <w:i/>
          <w:iCs/>
          <w:color w:val="000000"/>
          <w:szCs w:val="22"/>
        </w:rPr>
        <w:t>supra</w:t>
      </w:r>
      <w:r w:rsidRPr="004369DB">
        <w:rPr>
          <w:color w:val="000000"/>
          <w:szCs w:val="22"/>
        </w:rPr>
        <w:t xml:space="preserve"> note</w:t>
      </w:r>
      <w:r>
        <w:rPr>
          <w:smallCaps/>
          <w:color w:val="000000"/>
          <w:szCs w:val="22"/>
        </w:rPr>
        <w:t xml:space="preserve"> </w:t>
      </w:r>
      <w:r>
        <w:rPr>
          <w:smallCaps/>
          <w:color w:val="000000"/>
          <w:szCs w:val="22"/>
        </w:rPr>
        <w:fldChar w:fldCharType="begin"/>
      </w:r>
      <w:r>
        <w:rPr>
          <w:smallCaps/>
          <w:color w:val="000000"/>
          <w:szCs w:val="22"/>
        </w:rPr>
        <w:instrText xml:space="preserve"> NOTEREF _Ref34228086 \h </w:instrText>
      </w:r>
      <w:r>
        <w:rPr>
          <w:smallCaps/>
          <w:color w:val="000000"/>
          <w:szCs w:val="22"/>
        </w:rPr>
      </w:r>
      <w:r>
        <w:rPr>
          <w:smallCaps/>
          <w:color w:val="000000"/>
          <w:szCs w:val="22"/>
        </w:rPr>
        <w:fldChar w:fldCharType="separate"/>
      </w:r>
      <w:r>
        <w:rPr>
          <w:smallCaps/>
          <w:color w:val="000000"/>
          <w:szCs w:val="22"/>
        </w:rPr>
        <w:t>324</w:t>
      </w:r>
      <w:r>
        <w:rPr>
          <w:smallCaps/>
          <w:color w:val="000000"/>
          <w:szCs w:val="22"/>
        </w:rPr>
        <w:fldChar w:fldCharType="end"/>
      </w:r>
      <w:r>
        <w:rPr>
          <w:smallCaps/>
          <w:color w:val="000000"/>
          <w:szCs w:val="22"/>
        </w:rPr>
        <w:t xml:space="preserve">, § 137; </w:t>
      </w:r>
      <w:r>
        <w:rPr>
          <w:i/>
          <w:iCs/>
          <w:color w:val="000000"/>
          <w:szCs w:val="22"/>
        </w:rPr>
        <w:t>s</w:t>
      </w:r>
      <w:r w:rsidRPr="00E26603">
        <w:rPr>
          <w:i/>
          <w:iCs/>
          <w:color w:val="000000"/>
          <w:szCs w:val="22"/>
        </w:rPr>
        <w:t>ee generally</w:t>
      </w:r>
      <w:r w:rsidRPr="003F1248">
        <w:rPr>
          <w:iCs/>
          <w:color w:val="000000"/>
          <w:szCs w:val="22"/>
        </w:rPr>
        <w:t xml:space="preserve"> </w:t>
      </w:r>
      <w:r w:rsidRPr="00E26603">
        <w:rPr>
          <w:color w:val="000000"/>
          <w:szCs w:val="22"/>
        </w:rPr>
        <w:t xml:space="preserve">In re Macy Lynne Quintanilla Tr., No. 04-17-00753-CV, </w:t>
      </w:r>
      <w:r>
        <w:rPr>
          <w:color w:val="000000"/>
          <w:szCs w:val="22"/>
        </w:rPr>
        <w:t>2018 WL 4903068, at *5–7</w:t>
      </w:r>
      <w:r w:rsidRPr="00E26603">
        <w:rPr>
          <w:color w:val="000000"/>
          <w:szCs w:val="22"/>
        </w:rPr>
        <w:t>(Tex. App.</w:t>
      </w:r>
      <w:r>
        <w:rPr>
          <w:color w:val="000000"/>
          <w:szCs w:val="22"/>
        </w:rPr>
        <w:t xml:space="preserve">—San Antonio </w:t>
      </w:r>
      <w:r w:rsidRPr="00E26603">
        <w:rPr>
          <w:color w:val="000000"/>
          <w:szCs w:val="22"/>
        </w:rPr>
        <w:t>Oct. 10, 2018) (showing an application of the Trust Protector’s role).</w:t>
      </w:r>
    </w:p>
  </w:footnote>
  <w:footnote w:id="347">
    <w:p w14:paraId="0A908F2D" w14:textId="125454ED"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sidRPr="004369DB">
        <w:rPr>
          <w:smallCaps/>
          <w:color w:val="000000"/>
          <w:szCs w:val="22"/>
        </w:rPr>
        <w:t>Bogert et al</w:t>
      </w:r>
      <w:r w:rsidRPr="00E26603">
        <w:rPr>
          <w:color w:val="000000"/>
          <w:szCs w:val="22"/>
        </w:rPr>
        <w:t xml:space="preserve">., </w:t>
      </w:r>
      <w:r w:rsidRPr="004369DB">
        <w:rPr>
          <w:i/>
          <w:iCs/>
          <w:color w:val="000000"/>
          <w:szCs w:val="22"/>
        </w:rPr>
        <w:t>supra</w:t>
      </w:r>
      <w:r w:rsidRPr="004369DB">
        <w:rPr>
          <w:color w:val="000000"/>
          <w:szCs w:val="22"/>
        </w:rPr>
        <w:t xml:space="preserve"> note</w:t>
      </w:r>
      <w:r>
        <w:rPr>
          <w:smallCaps/>
          <w:color w:val="000000"/>
          <w:szCs w:val="22"/>
        </w:rPr>
        <w:t xml:space="preserve"> </w:t>
      </w:r>
      <w:r>
        <w:rPr>
          <w:smallCaps/>
          <w:color w:val="000000"/>
          <w:szCs w:val="22"/>
        </w:rPr>
        <w:fldChar w:fldCharType="begin"/>
      </w:r>
      <w:r>
        <w:rPr>
          <w:smallCaps/>
          <w:color w:val="000000"/>
          <w:szCs w:val="22"/>
        </w:rPr>
        <w:instrText xml:space="preserve"> NOTEREF _Ref34228086 \h </w:instrText>
      </w:r>
      <w:r>
        <w:rPr>
          <w:smallCaps/>
          <w:color w:val="000000"/>
          <w:szCs w:val="22"/>
        </w:rPr>
      </w:r>
      <w:r>
        <w:rPr>
          <w:smallCaps/>
          <w:color w:val="000000"/>
          <w:szCs w:val="22"/>
        </w:rPr>
        <w:fldChar w:fldCharType="separate"/>
      </w:r>
      <w:r>
        <w:rPr>
          <w:smallCaps/>
          <w:color w:val="000000"/>
          <w:szCs w:val="22"/>
        </w:rPr>
        <w:t>324</w:t>
      </w:r>
      <w:r>
        <w:rPr>
          <w:smallCaps/>
          <w:color w:val="000000"/>
          <w:szCs w:val="22"/>
        </w:rPr>
        <w:fldChar w:fldCharType="end"/>
      </w:r>
      <w:r>
        <w:rPr>
          <w:smallCaps/>
          <w:color w:val="000000"/>
          <w:szCs w:val="22"/>
        </w:rPr>
        <w:t>, § 137;</w:t>
      </w:r>
    </w:p>
  </w:footnote>
  <w:footnote w:id="348">
    <w:p w14:paraId="66D170BC" w14:textId="484AD4AD" w:rsidR="0070346C" w:rsidRPr="00E26603" w:rsidRDefault="0070346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7E54CA">
        <w:rPr>
          <w:color w:val="000000"/>
          <w:szCs w:val="16"/>
        </w:rPr>
        <w:t xml:space="preserve">Presented During the State Bar of Texas </w:t>
      </w:r>
      <w:r>
        <w:rPr>
          <w:color w:val="000000"/>
          <w:szCs w:val="16"/>
        </w:rPr>
        <w:t>2018</w:t>
      </w:r>
      <w:r w:rsidRPr="007E54CA">
        <w:rPr>
          <w:color w:val="000000"/>
          <w:szCs w:val="16"/>
        </w:rPr>
        <w:t xml:space="preserve"> Estate Planning and Probate Drafting Course, </w:t>
      </w:r>
      <w:r w:rsidRPr="007E54CA">
        <w:rPr>
          <w:i/>
          <w:color w:val="000000"/>
          <w:szCs w:val="16"/>
        </w:rPr>
        <w:t>in</w:t>
      </w:r>
      <w:r w:rsidRPr="007E54CA">
        <w:rPr>
          <w:color w:val="000000"/>
          <w:szCs w:val="16"/>
        </w:rPr>
        <w:t xml:space="preserve"> </w:t>
      </w:r>
      <w:r w:rsidRPr="007E54CA">
        <w:rPr>
          <w:smallCaps/>
          <w:color w:val="000000"/>
          <w:szCs w:val="16"/>
        </w:rPr>
        <w:t>St. B. of Tex. 201</w:t>
      </w:r>
      <w:r>
        <w:rPr>
          <w:smallCaps/>
          <w:color w:val="000000"/>
          <w:szCs w:val="16"/>
        </w:rPr>
        <w:t>8</w:t>
      </w:r>
      <w:r w:rsidRPr="007E54CA">
        <w:rPr>
          <w:smallCaps/>
          <w:color w:val="000000"/>
          <w:szCs w:val="16"/>
        </w:rPr>
        <w:t xml:space="preserve"> Est. Plan. &amp; Prob. Drafting Course</w:t>
      </w:r>
      <w:r w:rsidRPr="007E54CA">
        <w:rPr>
          <w:color w:val="000000"/>
          <w:szCs w:val="16"/>
        </w:rPr>
        <w:t xml:space="preserve"> (Oct. 201</w:t>
      </w:r>
      <w:r>
        <w:rPr>
          <w:color w:val="000000"/>
          <w:szCs w:val="16"/>
        </w:rPr>
        <w:t>8</w:t>
      </w:r>
      <w:r w:rsidRPr="007E54CA">
        <w:rPr>
          <w:color w:val="000000"/>
          <w:szCs w:val="16"/>
        </w:rPr>
        <w:t>)</w:t>
      </w:r>
      <w:r>
        <w:rPr>
          <w:color w:val="000000"/>
          <w:szCs w:val="16"/>
        </w:rPr>
        <w:t>.</w:t>
      </w:r>
    </w:p>
  </w:footnote>
  <w:footnote w:id="349">
    <w:p w14:paraId="0BDECFC4" w14:textId="79CDBCBF" w:rsidR="0070346C" w:rsidRPr="0014127B" w:rsidRDefault="0070346C" w:rsidP="00561F7C">
      <w:pPr>
        <w:pStyle w:val="FootnoteText"/>
        <w:tabs>
          <w:tab w:val="clear" w:pos="600"/>
          <w:tab w:val="left" w:pos="605"/>
        </w:tabs>
        <w:spacing w:line="480" w:lineRule="auto"/>
        <w:rPr>
          <w:color w:val="000000"/>
          <w:szCs w:val="22"/>
        </w:rPr>
      </w:pPr>
      <w:r w:rsidRPr="0014127B">
        <w:rPr>
          <w:color w:val="000000"/>
          <w:szCs w:val="22"/>
        </w:rPr>
        <w:tab/>
      </w:r>
      <w:r w:rsidRPr="00E26603">
        <w:rPr>
          <w:rStyle w:val="FootnoteReference"/>
          <w:color w:val="000000"/>
          <w:sz w:val="16"/>
          <w:szCs w:val="22"/>
          <w:vertAlign w:val="baseline"/>
        </w:rPr>
        <w:footnoteRef/>
      </w:r>
      <w:r w:rsidRPr="0014127B">
        <w:rPr>
          <w:color w:val="000000"/>
          <w:szCs w:val="22"/>
        </w:rPr>
        <w:t>.</w:t>
      </w:r>
      <w:r w:rsidRPr="0014127B">
        <w:rPr>
          <w:color w:val="000000"/>
          <w:szCs w:val="22"/>
        </w:rPr>
        <w:tab/>
      </w:r>
      <w:r w:rsidRPr="0014127B">
        <w:rPr>
          <w:smallCaps/>
          <w:color w:val="000000"/>
          <w:szCs w:val="22"/>
        </w:rPr>
        <w:t>Tex. Prop. Code Ann.</w:t>
      </w:r>
      <w:r w:rsidRPr="0014127B">
        <w:rPr>
          <w:color w:val="000000"/>
          <w:szCs w:val="22"/>
        </w:rPr>
        <w:t xml:space="preserve"> § 113.081.</w:t>
      </w:r>
    </w:p>
  </w:footnote>
  <w:footnote w:id="350">
    <w:p w14:paraId="7DD54227" w14:textId="2EB0D95A"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id.</w:t>
      </w:r>
    </w:p>
  </w:footnote>
  <w:footnote w:id="351">
    <w:p w14:paraId="7957DBF5" w14:textId="67296B52"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sidRPr="004369DB">
        <w:rPr>
          <w:smallCaps/>
          <w:color w:val="000000"/>
          <w:szCs w:val="22"/>
        </w:rPr>
        <w:t>Bogert et al</w:t>
      </w:r>
      <w:r w:rsidRPr="00E26603">
        <w:rPr>
          <w:color w:val="000000"/>
          <w:szCs w:val="22"/>
        </w:rPr>
        <w:t xml:space="preserve">., </w:t>
      </w:r>
      <w:r w:rsidRPr="004369DB">
        <w:rPr>
          <w:i/>
          <w:iCs/>
          <w:color w:val="000000"/>
          <w:szCs w:val="22"/>
        </w:rPr>
        <w:t>supra</w:t>
      </w:r>
      <w:r w:rsidRPr="004369DB">
        <w:rPr>
          <w:color w:val="000000"/>
          <w:szCs w:val="22"/>
        </w:rPr>
        <w:t xml:space="preserve"> note</w:t>
      </w:r>
      <w:r>
        <w:rPr>
          <w:smallCaps/>
          <w:color w:val="000000"/>
          <w:szCs w:val="22"/>
        </w:rPr>
        <w:t xml:space="preserve"> </w:t>
      </w:r>
      <w:r>
        <w:rPr>
          <w:smallCaps/>
          <w:color w:val="000000"/>
          <w:szCs w:val="22"/>
        </w:rPr>
        <w:fldChar w:fldCharType="begin"/>
      </w:r>
      <w:r>
        <w:rPr>
          <w:smallCaps/>
          <w:color w:val="000000"/>
          <w:szCs w:val="22"/>
        </w:rPr>
        <w:instrText xml:space="preserve"> NOTEREF _Ref34228086 \h </w:instrText>
      </w:r>
      <w:r>
        <w:rPr>
          <w:smallCaps/>
          <w:color w:val="000000"/>
          <w:szCs w:val="22"/>
        </w:rPr>
      </w:r>
      <w:r>
        <w:rPr>
          <w:smallCaps/>
          <w:color w:val="000000"/>
          <w:szCs w:val="22"/>
        </w:rPr>
        <w:fldChar w:fldCharType="separate"/>
      </w:r>
      <w:r>
        <w:rPr>
          <w:smallCaps/>
          <w:color w:val="000000"/>
          <w:szCs w:val="22"/>
        </w:rPr>
        <w:t>324</w:t>
      </w:r>
      <w:r>
        <w:rPr>
          <w:smallCaps/>
          <w:color w:val="000000"/>
          <w:szCs w:val="22"/>
        </w:rPr>
        <w:fldChar w:fldCharType="end"/>
      </w:r>
      <w:r>
        <w:rPr>
          <w:smallCaps/>
          <w:color w:val="000000"/>
          <w:szCs w:val="22"/>
        </w:rPr>
        <w:t>, § 511.</w:t>
      </w:r>
    </w:p>
  </w:footnote>
  <w:footnote w:id="352">
    <w:p w14:paraId="3A9E47B5" w14:textId="0609C440"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Id</w:t>
      </w:r>
      <w:r w:rsidRPr="003F1248">
        <w:rPr>
          <w:i/>
          <w:color w:val="000000"/>
          <w:szCs w:val="22"/>
        </w:rPr>
        <w:t>.</w:t>
      </w:r>
    </w:p>
  </w:footnote>
  <w:footnote w:id="353">
    <w:p w14:paraId="6531AE6A" w14:textId="6ED92B8B"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Id</w:t>
      </w:r>
      <w:r w:rsidRPr="003F1248">
        <w:rPr>
          <w:i/>
          <w:color w:val="000000"/>
          <w:szCs w:val="22"/>
        </w:rPr>
        <w:t>.</w:t>
      </w:r>
    </w:p>
  </w:footnote>
  <w:footnote w:id="354">
    <w:p w14:paraId="3DFCF32C" w14:textId="3B071DE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id.</w:t>
      </w:r>
      <w:r>
        <w:rPr>
          <w:color w:val="000000"/>
          <w:szCs w:val="22"/>
        </w:rPr>
        <w:t xml:space="preserve">; </w:t>
      </w:r>
      <w:r w:rsidRPr="00E26603">
        <w:rPr>
          <w:smallCaps/>
          <w:color w:val="000000"/>
          <w:szCs w:val="22"/>
        </w:rPr>
        <w:t xml:space="preserve">Tex. </w:t>
      </w:r>
      <w:r>
        <w:rPr>
          <w:smallCaps/>
          <w:color w:val="000000"/>
          <w:szCs w:val="22"/>
        </w:rPr>
        <w:t>Prop.</w:t>
      </w:r>
      <w:r w:rsidRPr="00E26603">
        <w:rPr>
          <w:smallCaps/>
          <w:color w:val="000000"/>
          <w:szCs w:val="22"/>
        </w:rPr>
        <w:t xml:space="preserve"> Code</w:t>
      </w:r>
      <w:r>
        <w:rPr>
          <w:smallCaps/>
          <w:color w:val="000000"/>
          <w:szCs w:val="22"/>
        </w:rPr>
        <w:t xml:space="preserve"> Ann.</w:t>
      </w:r>
      <w:r w:rsidRPr="00E26603">
        <w:rPr>
          <w:color w:val="000000"/>
          <w:szCs w:val="22"/>
        </w:rPr>
        <w:t xml:space="preserve"> </w:t>
      </w:r>
      <w:r w:rsidRPr="00E26603">
        <w:rPr>
          <w:color w:val="000000"/>
          <w:szCs w:val="22"/>
          <w:lang w:val="fr-FR"/>
        </w:rPr>
        <w:t xml:space="preserve">§ </w:t>
      </w:r>
      <w:r w:rsidRPr="00E26603">
        <w:rPr>
          <w:color w:val="000000"/>
          <w:szCs w:val="22"/>
        </w:rPr>
        <w:t>114.032(a)(3).</w:t>
      </w:r>
    </w:p>
  </w:footnote>
  <w:footnote w:id="355">
    <w:p w14:paraId="07A0BCEF" w14:textId="291AC03D" w:rsidR="0070346C" w:rsidRPr="0014127B" w:rsidRDefault="0070346C" w:rsidP="00D30DEB">
      <w:pPr>
        <w:pStyle w:val="FootnoteText"/>
        <w:tabs>
          <w:tab w:val="clear" w:pos="600"/>
          <w:tab w:val="left" w:pos="605"/>
        </w:tabs>
        <w:spacing w:line="480" w:lineRule="auto"/>
        <w:rPr>
          <w:color w:val="000000"/>
          <w:szCs w:val="22"/>
          <w:lang w:val="fr-FR"/>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sidRPr="004369DB">
        <w:rPr>
          <w:smallCaps/>
          <w:color w:val="000000"/>
          <w:szCs w:val="22"/>
        </w:rPr>
        <w:t>Bogert et al</w:t>
      </w:r>
      <w:r w:rsidRPr="00E26603">
        <w:rPr>
          <w:color w:val="000000"/>
          <w:szCs w:val="22"/>
        </w:rPr>
        <w:t xml:space="preserve">., </w:t>
      </w:r>
      <w:r w:rsidRPr="004369DB">
        <w:rPr>
          <w:i/>
          <w:iCs/>
          <w:color w:val="000000"/>
          <w:szCs w:val="22"/>
        </w:rPr>
        <w:t>supra</w:t>
      </w:r>
      <w:r w:rsidRPr="004369DB">
        <w:rPr>
          <w:color w:val="000000"/>
          <w:szCs w:val="22"/>
        </w:rPr>
        <w:t xml:space="preserve"> note</w:t>
      </w:r>
      <w:r>
        <w:rPr>
          <w:smallCaps/>
          <w:color w:val="000000"/>
          <w:szCs w:val="22"/>
        </w:rPr>
        <w:t xml:space="preserve"> </w:t>
      </w:r>
      <w:r>
        <w:rPr>
          <w:smallCaps/>
          <w:color w:val="000000"/>
          <w:szCs w:val="22"/>
        </w:rPr>
        <w:fldChar w:fldCharType="begin"/>
      </w:r>
      <w:r>
        <w:rPr>
          <w:smallCaps/>
          <w:color w:val="000000"/>
          <w:szCs w:val="22"/>
        </w:rPr>
        <w:instrText xml:space="preserve"> NOTEREF _Ref34228086 \h </w:instrText>
      </w:r>
      <w:r>
        <w:rPr>
          <w:smallCaps/>
          <w:color w:val="000000"/>
          <w:szCs w:val="22"/>
        </w:rPr>
      </w:r>
      <w:r>
        <w:rPr>
          <w:smallCaps/>
          <w:color w:val="000000"/>
          <w:szCs w:val="22"/>
        </w:rPr>
        <w:fldChar w:fldCharType="separate"/>
      </w:r>
      <w:r>
        <w:rPr>
          <w:smallCaps/>
          <w:color w:val="000000"/>
          <w:szCs w:val="22"/>
        </w:rPr>
        <w:t>324</w:t>
      </w:r>
      <w:r>
        <w:rPr>
          <w:smallCaps/>
          <w:color w:val="000000"/>
          <w:szCs w:val="22"/>
        </w:rPr>
        <w:fldChar w:fldCharType="end"/>
      </w:r>
      <w:r>
        <w:rPr>
          <w:smallCaps/>
          <w:color w:val="000000"/>
          <w:szCs w:val="22"/>
        </w:rPr>
        <w:t>, § 137;</w:t>
      </w:r>
      <w:r w:rsidRPr="0014127B">
        <w:rPr>
          <w:i/>
          <w:iCs/>
          <w:color w:val="000000"/>
          <w:szCs w:val="22"/>
        </w:rPr>
        <w:t xml:space="preserve"> </w:t>
      </w:r>
      <w:r>
        <w:rPr>
          <w:i/>
          <w:iCs/>
          <w:color w:val="000000"/>
          <w:szCs w:val="22"/>
        </w:rPr>
        <w:t xml:space="preserve">see </w:t>
      </w:r>
      <w:r w:rsidRPr="0014127B">
        <w:rPr>
          <w:i/>
          <w:iCs/>
          <w:color w:val="000000"/>
          <w:szCs w:val="22"/>
        </w:rPr>
        <w:t>id.</w:t>
      </w:r>
      <w:r w:rsidRPr="0014127B">
        <w:rPr>
          <w:color w:val="000000"/>
          <w:szCs w:val="22"/>
        </w:rPr>
        <w:t xml:space="preserve"> </w:t>
      </w:r>
      <w:r w:rsidRPr="0014127B">
        <w:rPr>
          <w:color w:val="000000"/>
          <w:szCs w:val="22"/>
          <w:lang w:val="fr-FR"/>
        </w:rPr>
        <w:t>§ 114.032(a)(3).</w:t>
      </w:r>
    </w:p>
    <w:p w14:paraId="2C09B095" w14:textId="42840A7C" w:rsidR="0070346C" w:rsidRPr="0014127B" w:rsidRDefault="0070346C" w:rsidP="00561F7C">
      <w:pPr>
        <w:pStyle w:val="FootnoteText"/>
        <w:tabs>
          <w:tab w:val="clear" w:pos="600"/>
          <w:tab w:val="left" w:pos="605"/>
        </w:tabs>
        <w:spacing w:line="480" w:lineRule="auto"/>
        <w:rPr>
          <w:color w:val="000000"/>
          <w:szCs w:val="22"/>
          <w:lang w:val="fr-FR"/>
        </w:rPr>
      </w:pPr>
    </w:p>
  </w:footnote>
  <w:footnote w:id="356">
    <w:p w14:paraId="0AC8168E" w14:textId="5E931A8D" w:rsidR="0070346C" w:rsidRPr="0014127B" w:rsidRDefault="0070346C" w:rsidP="00561F7C">
      <w:pPr>
        <w:pStyle w:val="FootnoteText"/>
        <w:tabs>
          <w:tab w:val="clear" w:pos="600"/>
          <w:tab w:val="left" w:pos="605"/>
        </w:tabs>
        <w:spacing w:line="480" w:lineRule="auto"/>
        <w:rPr>
          <w:color w:val="000000"/>
          <w:szCs w:val="22"/>
          <w:lang w:val="fr-FR"/>
        </w:rPr>
      </w:pPr>
      <w:r w:rsidRPr="0014127B">
        <w:rPr>
          <w:color w:val="000000"/>
          <w:szCs w:val="22"/>
          <w:lang w:val="fr-FR"/>
        </w:rPr>
        <w:tab/>
      </w:r>
      <w:r w:rsidRPr="00E26603">
        <w:rPr>
          <w:rStyle w:val="FootnoteReference"/>
          <w:color w:val="000000"/>
          <w:sz w:val="16"/>
          <w:szCs w:val="22"/>
          <w:vertAlign w:val="baseline"/>
        </w:rPr>
        <w:footnoteRef/>
      </w:r>
      <w:r w:rsidRPr="0014127B">
        <w:rPr>
          <w:color w:val="000000"/>
          <w:szCs w:val="22"/>
          <w:lang w:val="fr-FR"/>
        </w:rPr>
        <w:t>.</w:t>
      </w:r>
      <w:r w:rsidRPr="0014127B">
        <w:rPr>
          <w:color w:val="000000"/>
          <w:szCs w:val="22"/>
          <w:lang w:val="fr-FR"/>
        </w:rPr>
        <w:tab/>
      </w:r>
      <w:r w:rsidRPr="0014127B">
        <w:rPr>
          <w:smallCaps/>
          <w:color w:val="000000"/>
          <w:szCs w:val="22"/>
          <w:lang w:val="fr-FR"/>
        </w:rPr>
        <w:t>Tex. Prop. Code Ann.</w:t>
      </w:r>
      <w:r w:rsidRPr="0014127B">
        <w:rPr>
          <w:color w:val="000000"/>
          <w:szCs w:val="22"/>
          <w:lang w:val="fr-FR"/>
        </w:rPr>
        <w:t xml:space="preserve"> </w:t>
      </w:r>
      <w:r w:rsidRPr="00E26603">
        <w:rPr>
          <w:color w:val="000000"/>
          <w:szCs w:val="22"/>
          <w:lang w:val="fr-FR"/>
        </w:rPr>
        <w:t>§ 1</w:t>
      </w:r>
      <w:r w:rsidRPr="0014127B">
        <w:rPr>
          <w:color w:val="000000"/>
          <w:szCs w:val="22"/>
          <w:lang w:val="fr-FR"/>
        </w:rPr>
        <w:t>14.032(c).</w:t>
      </w:r>
    </w:p>
  </w:footnote>
  <w:footnote w:id="357">
    <w:p w14:paraId="3915F192" w14:textId="4C6E7574" w:rsidR="0070346C" w:rsidRPr="00E26603" w:rsidRDefault="0070346C" w:rsidP="00561F7C">
      <w:pPr>
        <w:pStyle w:val="FootnoteText"/>
        <w:tabs>
          <w:tab w:val="clear" w:pos="600"/>
          <w:tab w:val="left" w:pos="605"/>
        </w:tabs>
        <w:spacing w:line="480" w:lineRule="auto"/>
        <w:rPr>
          <w:color w:val="000000"/>
          <w:szCs w:val="22"/>
        </w:rPr>
      </w:pPr>
      <w:r w:rsidRPr="0014127B">
        <w:rPr>
          <w:color w:val="000000"/>
          <w:szCs w:val="22"/>
          <w:lang w:val="fr-FR"/>
        </w:rPr>
        <w:tab/>
      </w:r>
      <w:r w:rsidRPr="00E26603">
        <w:rPr>
          <w:rStyle w:val="FootnoteReference"/>
          <w:color w:val="000000"/>
          <w:sz w:val="16"/>
          <w:szCs w:val="22"/>
          <w:vertAlign w:val="baseline"/>
        </w:rPr>
        <w:footnoteRef/>
      </w:r>
      <w:r w:rsidRPr="0014127B">
        <w:rPr>
          <w:color w:val="000000"/>
          <w:szCs w:val="22"/>
          <w:lang w:val="fr-FR"/>
        </w:rPr>
        <w:t>.</w:t>
      </w:r>
      <w:r w:rsidRPr="0014127B">
        <w:rPr>
          <w:color w:val="000000"/>
          <w:szCs w:val="22"/>
          <w:lang w:val="fr-FR"/>
        </w:rPr>
        <w:tab/>
      </w:r>
      <w:r w:rsidRPr="0014127B">
        <w:rPr>
          <w:smallCaps/>
          <w:color w:val="000000"/>
          <w:szCs w:val="22"/>
          <w:lang w:val="fr-FR"/>
        </w:rPr>
        <w:t>Tex. Prop. Code Ann.</w:t>
      </w:r>
      <w:r w:rsidRPr="0014127B">
        <w:rPr>
          <w:color w:val="000000"/>
          <w:szCs w:val="22"/>
          <w:lang w:val="fr-FR"/>
        </w:rPr>
        <w:t xml:space="preserve"> </w:t>
      </w:r>
      <w:r w:rsidRPr="0014127B">
        <w:rPr>
          <w:color w:val="000000"/>
          <w:szCs w:val="22"/>
        </w:rPr>
        <w:t xml:space="preserve">§ </w:t>
      </w:r>
      <w:r w:rsidRPr="00E26603">
        <w:rPr>
          <w:color w:val="000000"/>
          <w:szCs w:val="22"/>
        </w:rPr>
        <w:t>114.032(d).</w:t>
      </w:r>
    </w:p>
  </w:footnote>
  <w:footnote w:id="358">
    <w:p w14:paraId="65CB9092" w14:textId="54301287" w:rsidR="0070346C" w:rsidRPr="00E26603" w:rsidRDefault="0070346C" w:rsidP="004316F7">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w:t>
      </w:r>
      <w:r w:rsidRPr="004369DB">
        <w:rPr>
          <w:smallCaps/>
          <w:color w:val="000000"/>
          <w:szCs w:val="22"/>
        </w:rPr>
        <w:t>Bogert et al</w:t>
      </w:r>
      <w:r w:rsidRPr="00E26603">
        <w:rPr>
          <w:color w:val="000000"/>
          <w:szCs w:val="22"/>
        </w:rPr>
        <w:t xml:space="preserve">., </w:t>
      </w:r>
      <w:r w:rsidRPr="004369DB">
        <w:rPr>
          <w:i/>
          <w:iCs/>
          <w:color w:val="000000"/>
          <w:szCs w:val="22"/>
        </w:rPr>
        <w:t>supra</w:t>
      </w:r>
      <w:r w:rsidRPr="004369DB">
        <w:rPr>
          <w:color w:val="000000"/>
          <w:szCs w:val="22"/>
        </w:rPr>
        <w:t xml:space="preserve"> note</w:t>
      </w:r>
      <w:r>
        <w:rPr>
          <w:smallCaps/>
          <w:color w:val="000000"/>
          <w:szCs w:val="22"/>
        </w:rPr>
        <w:t xml:space="preserve"> </w:t>
      </w:r>
      <w:r>
        <w:rPr>
          <w:smallCaps/>
          <w:color w:val="000000"/>
          <w:szCs w:val="22"/>
        </w:rPr>
        <w:fldChar w:fldCharType="begin"/>
      </w:r>
      <w:r>
        <w:rPr>
          <w:smallCaps/>
          <w:color w:val="000000"/>
          <w:szCs w:val="22"/>
        </w:rPr>
        <w:instrText xml:space="preserve"> NOTEREF _Ref34228086 \h </w:instrText>
      </w:r>
      <w:r>
        <w:rPr>
          <w:smallCaps/>
          <w:color w:val="000000"/>
          <w:szCs w:val="22"/>
        </w:rPr>
      </w:r>
      <w:r>
        <w:rPr>
          <w:smallCaps/>
          <w:color w:val="000000"/>
          <w:szCs w:val="22"/>
        </w:rPr>
        <w:fldChar w:fldCharType="separate"/>
      </w:r>
      <w:r>
        <w:rPr>
          <w:smallCaps/>
          <w:color w:val="000000"/>
          <w:szCs w:val="22"/>
        </w:rPr>
        <w:t>324</w:t>
      </w:r>
      <w:r>
        <w:rPr>
          <w:smallCaps/>
          <w:color w:val="000000"/>
          <w:szCs w:val="22"/>
        </w:rPr>
        <w:fldChar w:fldCharType="end"/>
      </w:r>
      <w:r>
        <w:rPr>
          <w:smallCaps/>
          <w:color w:val="000000"/>
          <w:szCs w:val="22"/>
        </w:rPr>
        <w:t>, § 511.</w:t>
      </w:r>
    </w:p>
    <w:p w14:paraId="19E1396B" w14:textId="2F1CF3A0" w:rsidR="0070346C" w:rsidRPr="00E26603" w:rsidRDefault="0070346C" w:rsidP="00561F7C">
      <w:pPr>
        <w:pStyle w:val="FootnoteText"/>
        <w:tabs>
          <w:tab w:val="clear" w:pos="600"/>
          <w:tab w:val="left" w:pos="605"/>
        </w:tabs>
        <w:spacing w:line="480" w:lineRule="auto"/>
        <w:rPr>
          <w:color w:val="000000"/>
          <w:szCs w:val="22"/>
        </w:rPr>
      </w:pPr>
    </w:p>
  </w:footnote>
  <w:footnote w:id="359">
    <w:p w14:paraId="70648D5E" w14:textId="04BB021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Id</w:t>
      </w:r>
      <w:r>
        <w:rPr>
          <w:i/>
          <w:color w:val="000000"/>
          <w:szCs w:val="22"/>
        </w:rPr>
        <w:t>.</w:t>
      </w:r>
    </w:p>
  </w:footnote>
  <w:footnote w:id="360">
    <w:p w14:paraId="5C9044A2" w14:textId="4CA48ABC"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Id</w:t>
      </w:r>
      <w:r w:rsidRPr="00E26603">
        <w:rPr>
          <w:color w:val="000000"/>
          <w:szCs w:val="22"/>
        </w:rPr>
        <w:t>.</w:t>
      </w:r>
      <w:r>
        <w:rPr>
          <w:color w:val="000000"/>
          <w:szCs w:val="22"/>
        </w:rPr>
        <w:t xml:space="preserve"> §§ 519–20.</w:t>
      </w:r>
    </w:p>
  </w:footnote>
  <w:footnote w:id="361">
    <w:p w14:paraId="25A5F3DD" w14:textId="56E25051"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Id</w:t>
      </w:r>
      <w:r w:rsidRPr="003F1248">
        <w:rPr>
          <w:i/>
          <w:color w:val="000000"/>
          <w:szCs w:val="22"/>
        </w:rPr>
        <w:t>.</w:t>
      </w:r>
    </w:p>
  </w:footnote>
  <w:footnote w:id="362">
    <w:p w14:paraId="6A89262C" w14:textId="2825DC9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Id</w:t>
      </w:r>
      <w:r w:rsidRPr="003F1248">
        <w:rPr>
          <w:i/>
          <w:color w:val="000000"/>
          <w:szCs w:val="22"/>
        </w:rPr>
        <w:t>.</w:t>
      </w:r>
    </w:p>
  </w:footnote>
  <w:footnote w:id="363">
    <w:p w14:paraId="2A8A4B5D" w14:textId="60792E2F"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Id</w:t>
      </w:r>
      <w:r w:rsidRPr="003F1248">
        <w:rPr>
          <w:i/>
          <w:color w:val="000000"/>
          <w:szCs w:val="22"/>
        </w:rPr>
        <w:t>.</w:t>
      </w:r>
    </w:p>
  </w:footnote>
  <w:footnote w:id="364">
    <w:p w14:paraId="1679FF69" w14:textId="6D82952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Pr>
          <w:iCs/>
          <w:color w:val="000000"/>
          <w:szCs w:val="22"/>
        </w:rPr>
        <w:t xml:space="preserve"> </w:t>
      </w:r>
      <w:r>
        <w:rPr>
          <w:i/>
          <w:color w:val="000000"/>
          <w:szCs w:val="22"/>
        </w:rPr>
        <w:t xml:space="preserve">id. </w:t>
      </w:r>
    </w:p>
  </w:footnote>
  <w:footnote w:id="365">
    <w:p w14:paraId="614823B4" w14:textId="45A0DAA6" w:rsidR="0070346C" w:rsidRPr="0083083B" w:rsidRDefault="0070346C" w:rsidP="00561F7C">
      <w:pPr>
        <w:pStyle w:val="FootnoteText"/>
        <w:tabs>
          <w:tab w:val="clear" w:pos="600"/>
          <w:tab w:val="left" w:pos="605"/>
        </w:tabs>
        <w:spacing w:line="480" w:lineRule="auto"/>
        <w:rPr>
          <w:i/>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See id. </w:t>
      </w:r>
    </w:p>
  </w:footnote>
  <w:footnote w:id="366">
    <w:p w14:paraId="278E91F3" w14:textId="46F0F848" w:rsidR="0070346C" w:rsidRPr="0094387C"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14127B">
        <w:rPr>
          <w:smallCaps/>
          <w:color w:val="000000"/>
          <w:szCs w:val="22"/>
        </w:rPr>
        <w:t>Tex. Prop. Code Ann.</w:t>
      </w:r>
      <w:r w:rsidRPr="0014127B">
        <w:rPr>
          <w:color w:val="000000"/>
          <w:szCs w:val="22"/>
        </w:rPr>
        <w:t xml:space="preserve"> § </w:t>
      </w:r>
      <w:r w:rsidRPr="0014127B">
        <w:rPr>
          <w:color w:val="000000"/>
          <w:szCs w:val="22"/>
        </w:rPr>
        <w:t xml:space="preserve">113.082 ; </w:t>
      </w:r>
      <w:r w:rsidRPr="0014127B">
        <w:rPr>
          <w:i/>
          <w:iCs/>
          <w:color w:val="000000"/>
          <w:szCs w:val="22"/>
        </w:rPr>
        <w:t>s</w:t>
      </w:r>
      <w:r w:rsidRPr="00E26603">
        <w:rPr>
          <w:i/>
          <w:iCs/>
          <w:color w:val="000000"/>
          <w:szCs w:val="22"/>
        </w:rPr>
        <w:t xml:space="preserve">ee </w:t>
      </w:r>
      <w:r>
        <w:rPr>
          <w:color w:val="000000"/>
          <w:szCs w:val="22"/>
        </w:rPr>
        <w:t xml:space="preserve">Novak v. Schellenberg, 718 S.W.2d 822, 824–25 (Tex. App. –Corpus Christi 1986, no writ). </w:t>
      </w:r>
    </w:p>
  </w:footnote>
  <w:footnote w:id="367">
    <w:p w14:paraId="2381DDC9" w14:textId="187F4937" w:rsidR="0070346C" w:rsidRPr="0014127B"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Novak</w:t>
      </w:r>
      <w:r>
        <w:rPr>
          <w:color w:val="000000"/>
          <w:szCs w:val="22"/>
        </w:rPr>
        <w:t xml:space="preserve">, </w:t>
      </w:r>
      <w:r>
        <w:rPr>
          <w:i/>
          <w:iCs/>
          <w:color w:val="000000"/>
          <w:szCs w:val="22"/>
        </w:rPr>
        <w:t xml:space="preserve"> </w:t>
      </w:r>
      <w:r>
        <w:rPr>
          <w:color w:val="000000"/>
          <w:szCs w:val="22"/>
        </w:rPr>
        <w:t>718 S.W.2d at 824–25.</w:t>
      </w:r>
    </w:p>
  </w:footnote>
  <w:footnote w:id="368">
    <w:p w14:paraId="48263EF0" w14:textId="6628812B"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Cs/>
          <w:color w:val="000000"/>
          <w:szCs w:val="22"/>
        </w:rPr>
        <w:t>Akin. v. Dahl</w:t>
      </w:r>
      <w:r w:rsidRPr="00E26603">
        <w:rPr>
          <w:color w:val="000000"/>
          <w:szCs w:val="22"/>
        </w:rPr>
        <w:t>, 661 S.W.2d 91</w:t>
      </w:r>
      <w:r>
        <w:rPr>
          <w:color w:val="000000"/>
          <w:szCs w:val="22"/>
        </w:rPr>
        <w:t>1, 913–15</w:t>
      </w:r>
      <w:r w:rsidRPr="00E26603">
        <w:rPr>
          <w:color w:val="000000"/>
          <w:szCs w:val="22"/>
        </w:rPr>
        <w:t xml:space="preserve"> (Tex. 1983), </w:t>
      </w:r>
      <w:r w:rsidRPr="00E26603">
        <w:rPr>
          <w:i/>
          <w:color w:val="000000"/>
          <w:szCs w:val="22"/>
        </w:rPr>
        <w:t>cert. denied</w:t>
      </w:r>
      <w:r w:rsidRPr="00E26603">
        <w:rPr>
          <w:color w:val="000000"/>
          <w:szCs w:val="22"/>
        </w:rPr>
        <w:t>, U.S. 938 (1984).</w:t>
      </w:r>
    </w:p>
  </w:footnote>
  <w:footnote w:id="369">
    <w:p w14:paraId="7E494BA2" w14:textId="3AF045AF" w:rsidR="0070346C" w:rsidRPr="0014127B" w:rsidRDefault="0070346C" w:rsidP="00561F7C">
      <w:pPr>
        <w:pStyle w:val="FootnoteText"/>
        <w:tabs>
          <w:tab w:val="clear" w:pos="600"/>
          <w:tab w:val="left" w:pos="605"/>
        </w:tabs>
        <w:spacing w:line="480" w:lineRule="auto"/>
        <w:rPr>
          <w:color w:val="000000"/>
          <w:szCs w:val="22"/>
        </w:rPr>
      </w:pPr>
      <w:r w:rsidRPr="0014127B">
        <w:rPr>
          <w:color w:val="000000"/>
          <w:szCs w:val="22"/>
        </w:rPr>
        <w:tab/>
      </w:r>
      <w:r w:rsidRPr="00E26603">
        <w:rPr>
          <w:rStyle w:val="FootnoteReference"/>
          <w:color w:val="000000"/>
          <w:sz w:val="16"/>
          <w:szCs w:val="22"/>
          <w:vertAlign w:val="baseline"/>
        </w:rPr>
        <w:footnoteRef/>
      </w:r>
      <w:r w:rsidRPr="0014127B">
        <w:rPr>
          <w:color w:val="000000"/>
          <w:szCs w:val="22"/>
        </w:rPr>
        <w:t>.</w:t>
      </w:r>
      <w:r w:rsidRPr="0014127B">
        <w:rPr>
          <w:color w:val="000000"/>
          <w:szCs w:val="22"/>
        </w:rPr>
        <w:tab/>
      </w:r>
      <w:r w:rsidRPr="0014127B">
        <w:rPr>
          <w:smallCaps/>
          <w:color w:val="000000"/>
          <w:szCs w:val="22"/>
        </w:rPr>
        <w:t>Tex. Prop. Code Ann.</w:t>
      </w:r>
      <w:r w:rsidRPr="0014127B">
        <w:rPr>
          <w:color w:val="000000"/>
          <w:szCs w:val="22"/>
        </w:rPr>
        <w:t xml:space="preserve"> § 113.082.</w:t>
      </w:r>
    </w:p>
  </w:footnote>
  <w:footnote w:id="370">
    <w:p w14:paraId="5CE78CDF" w14:textId="4EDA5BB2"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sidRPr="00E26603">
        <w:rPr>
          <w:iCs/>
          <w:color w:val="000000"/>
          <w:szCs w:val="22"/>
        </w:rPr>
        <w:t xml:space="preserve"> </w:t>
      </w:r>
      <w:r w:rsidRPr="0014127B">
        <w:rPr>
          <w:i/>
          <w:iCs/>
          <w:color w:val="000000"/>
          <w:szCs w:val="22"/>
        </w:rPr>
        <w:t>Novak</w:t>
      </w:r>
      <w:r w:rsidRPr="00E26603">
        <w:rPr>
          <w:color w:val="000000"/>
          <w:szCs w:val="22"/>
        </w:rPr>
        <w:t xml:space="preserve"> , 718 S.W.2d</w:t>
      </w:r>
      <w:r>
        <w:rPr>
          <w:color w:val="000000"/>
          <w:szCs w:val="22"/>
        </w:rPr>
        <w:t xml:space="preserve"> at</w:t>
      </w:r>
      <w:r w:rsidRPr="00E26603">
        <w:rPr>
          <w:color w:val="000000"/>
          <w:szCs w:val="22"/>
        </w:rPr>
        <w:t xml:space="preserve"> 822</w:t>
      </w:r>
      <w:r>
        <w:rPr>
          <w:color w:val="000000"/>
          <w:szCs w:val="22"/>
        </w:rPr>
        <w:t>.</w:t>
      </w:r>
    </w:p>
  </w:footnote>
  <w:footnote w:id="371">
    <w:p w14:paraId="3A142D24" w14:textId="71B17201"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sidRPr="00E26603">
        <w:rPr>
          <w:iCs/>
          <w:color w:val="000000"/>
          <w:szCs w:val="22"/>
        </w:rPr>
        <w:t xml:space="preserve"> </w:t>
      </w:r>
      <w:r w:rsidRPr="00E26603">
        <w:rPr>
          <w:color w:val="000000"/>
          <w:szCs w:val="22"/>
        </w:rPr>
        <w:t>Moore v. Sanders, 106 S.W.2d 337</w:t>
      </w:r>
      <w:r>
        <w:rPr>
          <w:color w:val="000000"/>
          <w:szCs w:val="22"/>
        </w:rPr>
        <w:t>, 339</w:t>
      </w:r>
      <w:r w:rsidRPr="00E26603">
        <w:rPr>
          <w:color w:val="000000"/>
          <w:szCs w:val="22"/>
        </w:rPr>
        <w:t xml:space="preserve"> (Tex. Civ. App.—San Antonio 1937, </w:t>
      </w:r>
      <w:r w:rsidRPr="0014127B">
        <w:rPr>
          <w:iCs/>
          <w:color w:val="000000"/>
          <w:szCs w:val="22"/>
        </w:rPr>
        <w:t>no writ</w:t>
      </w:r>
      <w:r w:rsidRPr="00E26603">
        <w:rPr>
          <w:color w:val="000000"/>
          <w:szCs w:val="22"/>
        </w:rPr>
        <w:t>).</w:t>
      </w:r>
    </w:p>
  </w:footnote>
  <w:footnote w:id="372">
    <w:p w14:paraId="331487A9" w14:textId="45C05BB6"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w:t>
      </w:r>
      <w:r w:rsidRPr="00E26603">
        <w:rPr>
          <w:iCs/>
          <w:color w:val="000000"/>
          <w:szCs w:val="22"/>
        </w:rPr>
        <w:t xml:space="preserve"> </w:t>
      </w:r>
      <w:r w:rsidRPr="0014127B">
        <w:rPr>
          <w:i/>
          <w:iCs/>
          <w:color w:val="000000"/>
          <w:szCs w:val="22"/>
        </w:rPr>
        <w:t>Novak</w:t>
      </w:r>
      <w:r w:rsidRPr="00E26603">
        <w:rPr>
          <w:color w:val="000000"/>
          <w:szCs w:val="22"/>
        </w:rPr>
        <w:t>, 718 S.W.2d at 822.</w:t>
      </w:r>
    </w:p>
  </w:footnote>
  <w:footnote w:id="373">
    <w:p w14:paraId="35A5201C" w14:textId="1A58B5E2"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Id</w:t>
      </w:r>
      <w:r w:rsidRPr="003F1248">
        <w:rPr>
          <w:i/>
          <w:color w:val="000000"/>
          <w:szCs w:val="22"/>
        </w:rPr>
        <w:t>.</w:t>
      </w:r>
    </w:p>
  </w:footnote>
  <w:footnote w:id="374">
    <w:p w14:paraId="1ACD911D" w14:textId="03FE64FD"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color w:val="000000"/>
          <w:szCs w:val="22"/>
        </w:rPr>
        <w:t xml:space="preserve">Pacheco, </w:t>
      </w:r>
      <w:r w:rsidRPr="00E26603">
        <w:rPr>
          <w:i/>
          <w:iCs/>
          <w:color w:val="000000"/>
          <w:szCs w:val="22"/>
        </w:rPr>
        <w:t>supra</w:t>
      </w:r>
      <w:r w:rsidRPr="003F1248">
        <w:rPr>
          <w:iCs/>
          <w:color w:val="000000"/>
          <w:szCs w:val="22"/>
        </w:rPr>
        <w:t xml:space="preserve"> </w:t>
      </w:r>
      <w:r w:rsidRPr="00E26603">
        <w:rPr>
          <w:color w:val="000000"/>
          <w:szCs w:val="22"/>
        </w:rPr>
        <w:t xml:space="preserve">note </w:t>
      </w:r>
      <w:r>
        <w:rPr>
          <w:color w:val="000000"/>
          <w:szCs w:val="22"/>
        </w:rPr>
        <w:fldChar w:fldCharType="begin"/>
      </w:r>
      <w:r>
        <w:rPr>
          <w:color w:val="000000"/>
          <w:szCs w:val="22"/>
        </w:rPr>
        <w:instrText xml:space="preserve"> NOTEREF _Ref33805468 \h </w:instrText>
      </w:r>
      <w:r>
        <w:rPr>
          <w:color w:val="000000"/>
          <w:szCs w:val="22"/>
        </w:rPr>
      </w:r>
      <w:r>
        <w:rPr>
          <w:color w:val="000000"/>
          <w:szCs w:val="22"/>
        </w:rPr>
        <w:fldChar w:fldCharType="separate"/>
      </w:r>
      <w:r>
        <w:rPr>
          <w:color w:val="000000"/>
          <w:szCs w:val="22"/>
        </w:rPr>
        <w:t>96</w:t>
      </w:r>
      <w:r>
        <w:rPr>
          <w:color w:val="000000"/>
          <w:szCs w:val="22"/>
        </w:rPr>
        <w:fldChar w:fldCharType="end"/>
      </w:r>
      <w:r>
        <w:rPr>
          <w:color w:val="000000"/>
          <w:szCs w:val="22"/>
        </w:rPr>
        <w:t>, at 22</w:t>
      </w:r>
      <w:r w:rsidRPr="00E26603">
        <w:rPr>
          <w:color w:val="000000"/>
          <w:szCs w:val="22"/>
        </w:rPr>
        <w:t>.</w:t>
      </w:r>
    </w:p>
  </w:footnote>
  <w:footnote w:id="375">
    <w:p w14:paraId="5B44CF30" w14:textId="0D65FFC3" w:rsidR="0070346C" w:rsidRPr="00A965A9"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See id</w:t>
      </w:r>
      <w:r>
        <w:rPr>
          <w:color w:val="000000"/>
          <w:szCs w:val="22"/>
        </w:rPr>
        <w:t xml:space="preserve">.; </w:t>
      </w:r>
      <w:r>
        <w:rPr>
          <w:i/>
          <w:iCs/>
          <w:color w:val="000000"/>
          <w:szCs w:val="22"/>
        </w:rPr>
        <w:t xml:space="preserve">supra </w:t>
      </w:r>
      <w:r>
        <w:rPr>
          <w:color w:val="000000"/>
          <w:szCs w:val="22"/>
        </w:rPr>
        <w:t>Section II.A.</w:t>
      </w:r>
    </w:p>
  </w:footnote>
  <w:footnote w:id="376">
    <w:p w14:paraId="79CD537A" w14:textId="1D119802"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color w:val="000000"/>
          <w:szCs w:val="22"/>
        </w:rPr>
        <w:t xml:space="preserve">Pacheco, </w:t>
      </w:r>
      <w:r w:rsidRPr="00E26603">
        <w:rPr>
          <w:i/>
          <w:iCs/>
          <w:color w:val="000000"/>
          <w:szCs w:val="22"/>
        </w:rPr>
        <w:t>supra</w:t>
      </w:r>
      <w:r w:rsidRPr="003F1248">
        <w:rPr>
          <w:iCs/>
          <w:color w:val="000000"/>
          <w:szCs w:val="22"/>
        </w:rPr>
        <w:t xml:space="preserve"> </w:t>
      </w:r>
      <w:r w:rsidRPr="00E26603">
        <w:rPr>
          <w:color w:val="000000"/>
          <w:szCs w:val="22"/>
        </w:rPr>
        <w:t xml:space="preserve">note </w:t>
      </w:r>
      <w:r>
        <w:rPr>
          <w:color w:val="000000"/>
          <w:szCs w:val="22"/>
        </w:rPr>
        <w:fldChar w:fldCharType="begin"/>
      </w:r>
      <w:r>
        <w:rPr>
          <w:color w:val="000000"/>
          <w:szCs w:val="22"/>
        </w:rPr>
        <w:instrText xml:space="preserve"> NOTEREF _Ref33805468 \h </w:instrText>
      </w:r>
      <w:r>
        <w:rPr>
          <w:color w:val="000000"/>
          <w:szCs w:val="22"/>
        </w:rPr>
      </w:r>
      <w:r>
        <w:rPr>
          <w:color w:val="000000"/>
          <w:szCs w:val="22"/>
        </w:rPr>
        <w:fldChar w:fldCharType="separate"/>
      </w:r>
      <w:r>
        <w:rPr>
          <w:color w:val="000000"/>
          <w:szCs w:val="22"/>
        </w:rPr>
        <w:t>96</w:t>
      </w:r>
      <w:r>
        <w:rPr>
          <w:color w:val="000000"/>
          <w:szCs w:val="22"/>
        </w:rPr>
        <w:fldChar w:fldCharType="end"/>
      </w:r>
      <w:r>
        <w:rPr>
          <w:color w:val="000000"/>
          <w:szCs w:val="22"/>
        </w:rPr>
        <w:t>, at 22</w:t>
      </w:r>
    </w:p>
  </w:footnote>
  <w:footnote w:id="377">
    <w:p w14:paraId="550876DD" w14:textId="455C084B"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 xml:space="preserve">Id. </w:t>
      </w:r>
      <w:r>
        <w:rPr>
          <w:color w:val="000000"/>
          <w:szCs w:val="22"/>
        </w:rPr>
        <w:t>at 23.</w:t>
      </w:r>
    </w:p>
  </w:footnote>
  <w:footnote w:id="378">
    <w:p w14:paraId="40C4ECC1" w14:textId="355823B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Id</w:t>
      </w:r>
      <w:r w:rsidRPr="003F1248">
        <w:rPr>
          <w:i/>
          <w:color w:val="000000"/>
          <w:szCs w:val="22"/>
        </w:rPr>
        <w:t>.</w:t>
      </w:r>
    </w:p>
  </w:footnote>
  <w:footnote w:id="379">
    <w:p w14:paraId="5DBB743D" w14:textId="0528D8F4"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Id</w:t>
      </w:r>
      <w:r w:rsidRPr="003F1248">
        <w:rPr>
          <w:i/>
          <w:color w:val="000000"/>
          <w:szCs w:val="22"/>
        </w:rPr>
        <w:t>.</w:t>
      </w:r>
    </w:p>
  </w:footnote>
  <w:footnote w:id="380">
    <w:p w14:paraId="7B6736FA" w14:textId="2B0E2040"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Id</w:t>
      </w:r>
      <w:r w:rsidRPr="003F1248">
        <w:rPr>
          <w:i/>
          <w:color w:val="000000"/>
          <w:szCs w:val="22"/>
        </w:rPr>
        <w:t>.</w:t>
      </w:r>
    </w:p>
  </w:footnote>
  <w:footnote w:id="381">
    <w:p w14:paraId="41B50776" w14:textId="2ECDF961" w:rsidR="0070346C" w:rsidRPr="0094387C" w:rsidRDefault="0070346C" w:rsidP="00561F7C">
      <w:pPr>
        <w:pStyle w:val="FootnoteText"/>
        <w:tabs>
          <w:tab w:val="clear" w:pos="600"/>
          <w:tab w:val="left" w:pos="605"/>
        </w:tabs>
        <w:spacing w:line="480" w:lineRule="auto"/>
        <w:rPr>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Id</w:t>
      </w:r>
      <w:r w:rsidRPr="003F1248">
        <w:rPr>
          <w:i/>
          <w:color w:val="000000"/>
          <w:szCs w:val="22"/>
        </w:rPr>
        <w:t>.</w:t>
      </w:r>
      <w:r>
        <w:rPr>
          <w:iCs/>
          <w:color w:val="000000"/>
          <w:szCs w:val="22"/>
        </w:rPr>
        <w:t xml:space="preserve"> at 24. </w:t>
      </w:r>
    </w:p>
  </w:footnote>
  <w:footnote w:id="382">
    <w:p w14:paraId="58EC1068" w14:textId="1C3E2866"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Id.</w:t>
      </w:r>
    </w:p>
  </w:footnote>
  <w:footnote w:id="383">
    <w:p w14:paraId="733E5E1D" w14:textId="2958CC07"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Id</w:t>
      </w:r>
      <w:r w:rsidRPr="003F1248">
        <w:rPr>
          <w:i/>
          <w:color w:val="000000"/>
          <w:szCs w:val="22"/>
        </w:rPr>
        <w:t>.</w:t>
      </w:r>
    </w:p>
  </w:footnote>
  <w:footnote w:id="384">
    <w:p w14:paraId="3AAD73CC" w14:textId="373BCB50"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Id</w:t>
      </w:r>
      <w:r w:rsidRPr="003F1248">
        <w:rPr>
          <w:i/>
          <w:color w:val="000000"/>
          <w:szCs w:val="22"/>
        </w:rPr>
        <w:t>.</w:t>
      </w:r>
    </w:p>
  </w:footnote>
  <w:footnote w:id="385">
    <w:p w14:paraId="2B403D4A" w14:textId="16D0FE60"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Id</w:t>
      </w:r>
      <w:r w:rsidRPr="003F1248">
        <w:rPr>
          <w:i/>
          <w:color w:val="000000"/>
          <w:szCs w:val="22"/>
        </w:rPr>
        <w:t>.</w:t>
      </w:r>
    </w:p>
  </w:footnote>
  <w:footnote w:id="386">
    <w:p w14:paraId="5A7C141A" w14:textId="30E9B955"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Id</w:t>
      </w:r>
      <w:r w:rsidRPr="003F1248">
        <w:rPr>
          <w:i/>
          <w:color w:val="000000"/>
          <w:szCs w:val="22"/>
        </w:rPr>
        <w:t>.</w:t>
      </w:r>
    </w:p>
  </w:footnote>
  <w:footnote w:id="387">
    <w:p w14:paraId="18988EDB" w14:textId="74B46CB5" w:rsidR="0070346C" w:rsidRPr="0014127B" w:rsidRDefault="0070346C">
      <w:pPr>
        <w:pStyle w:val="FootnoteText"/>
        <w:rPr>
          <w:i/>
          <w:iCs/>
          <w:szCs w:val="16"/>
        </w:rPr>
      </w:pPr>
      <w:r>
        <w:rPr>
          <w:szCs w:val="16"/>
        </w:rPr>
        <w:tab/>
      </w:r>
      <w:r w:rsidRPr="0014127B">
        <w:rPr>
          <w:rStyle w:val="FootnoteReference"/>
          <w:sz w:val="16"/>
          <w:szCs w:val="16"/>
          <w:vertAlign w:val="baseline"/>
        </w:rPr>
        <w:footnoteRef/>
      </w:r>
      <w:r>
        <w:rPr>
          <w:szCs w:val="16"/>
        </w:rPr>
        <w:t>.</w:t>
      </w:r>
      <w:r>
        <w:rPr>
          <w:szCs w:val="16"/>
        </w:rPr>
        <w:tab/>
      </w:r>
      <w:r>
        <w:rPr>
          <w:i/>
          <w:iCs/>
          <w:szCs w:val="16"/>
        </w:rPr>
        <w:t>Id.</w:t>
      </w:r>
    </w:p>
  </w:footnote>
  <w:footnote w:id="388">
    <w:p w14:paraId="651C0994" w14:textId="3C8CDAFB"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Id</w:t>
      </w:r>
      <w:r w:rsidRPr="003F1248">
        <w:rPr>
          <w:i/>
          <w:color w:val="000000"/>
          <w:szCs w:val="22"/>
        </w:rPr>
        <w:t>.</w:t>
      </w:r>
    </w:p>
  </w:footnote>
  <w:footnote w:id="389">
    <w:p w14:paraId="7FA84E53" w14:textId="7B725CCC"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Id.</w:t>
      </w:r>
    </w:p>
  </w:footnote>
  <w:footnote w:id="390">
    <w:p w14:paraId="76D1C501" w14:textId="5C4C052D"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3F1248">
        <w:rPr>
          <w:i/>
          <w:iCs/>
          <w:color w:val="000000"/>
          <w:szCs w:val="22"/>
        </w:rPr>
        <w:t>Id</w:t>
      </w:r>
      <w:r w:rsidRPr="003F1248">
        <w:rPr>
          <w:i/>
          <w:color w:val="000000"/>
          <w:szCs w:val="22"/>
        </w:rPr>
        <w:t>.</w:t>
      </w:r>
    </w:p>
  </w:footnote>
  <w:footnote w:id="391">
    <w:p w14:paraId="687FA522" w14:textId="2B857F1C" w:rsidR="0070346C" w:rsidRPr="0094387C" w:rsidRDefault="0070346C" w:rsidP="00561F7C">
      <w:pPr>
        <w:pStyle w:val="FootnoteText"/>
        <w:tabs>
          <w:tab w:val="clear" w:pos="600"/>
          <w:tab w:val="left" w:pos="605"/>
        </w:tabs>
        <w:spacing w:line="480" w:lineRule="auto"/>
        <w:rPr>
          <w:iCs/>
          <w:color w:val="000000"/>
          <w:szCs w:val="16"/>
        </w:rPr>
      </w:pPr>
      <w:r>
        <w:rPr>
          <w:color w:val="000000"/>
          <w:szCs w:val="22"/>
        </w:rPr>
        <w:tab/>
      </w:r>
      <w:r w:rsidRPr="00C91D84">
        <w:rPr>
          <w:rStyle w:val="FootnoteReference"/>
          <w:color w:val="000000"/>
          <w:sz w:val="16"/>
          <w:szCs w:val="22"/>
          <w:vertAlign w:val="baseline"/>
        </w:rPr>
        <w:footnoteRef/>
      </w:r>
      <w:r w:rsidRPr="0094387C">
        <w:rPr>
          <w:color w:val="000000"/>
          <w:szCs w:val="16"/>
        </w:rPr>
        <w:t>.</w:t>
      </w:r>
      <w:r w:rsidRPr="0094387C">
        <w:rPr>
          <w:color w:val="000000"/>
          <w:szCs w:val="16"/>
        </w:rPr>
        <w:tab/>
      </w:r>
      <w:r w:rsidRPr="0094387C">
        <w:rPr>
          <w:i/>
          <w:iCs/>
          <w:color w:val="000000"/>
          <w:szCs w:val="16"/>
        </w:rPr>
        <w:t>Id</w:t>
      </w:r>
      <w:r w:rsidRPr="0094387C">
        <w:rPr>
          <w:i/>
          <w:color w:val="000000"/>
          <w:szCs w:val="16"/>
        </w:rPr>
        <w:t>.</w:t>
      </w:r>
      <w:r w:rsidRPr="00C91D84">
        <w:rPr>
          <w:iCs/>
          <w:color w:val="000000"/>
          <w:szCs w:val="16"/>
        </w:rPr>
        <w:t xml:space="preserve"> at 33.</w:t>
      </w:r>
    </w:p>
  </w:footnote>
  <w:footnote w:id="392">
    <w:p w14:paraId="05A421EA" w14:textId="04F07976" w:rsidR="0070346C" w:rsidRDefault="0070346C">
      <w:pPr>
        <w:pStyle w:val="FootnoteText"/>
      </w:pPr>
      <w:r>
        <w:rPr>
          <w:szCs w:val="16"/>
        </w:rPr>
        <w:tab/>
      </w:r>
      <w:r w:rsidRPr="0014127B">
        <w:rPr>
          <w:rStyle w:val="FootnoteReference"/>
          <w:sz w:val="16"/>
          <w:szCs w:val="16"/>
          <w:vertAlign w:val="baseline"/>
        </w:rPr>
        <w:footnoteRef/>
      </w:r>
      <w:r>
        <w:rPr>
          <w:szCs w:val="16"/>
        </w:rPr>
        <w:t>.</w:t>
      </w:r>
      <w:r>
        <w:rPr>
          <w:szCs w:val="16"/>
        </w:rPr>
        <w:tab/>
      </w:r>
      <w:r w:rsidRPr="004369DB">
        <w:rPr>
          <w:i/>
          <w:iCs/>
          <w:color w:val="000000"/>
          <w:szCs w:val="16"/>
        </w:rPr>
        <w:t>Id</w:t>
      </w:r>
      <w:r w:rsidRPr="004369DB">
        <w:rPr>
          <w:i/>
          <w:color w:val="000000"/>
          <w:szCs w:val="16"/>
        </w:rPr>
        <w:t>.</w:t>
      </w:r>
    </w:p>
  </w:footnote>
  <w:footnote w:id="393">
    <w:p w14:paraId="03EEE73E" w14:textId="0B09EB0D"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D53811">
        <w:rPr>
          <w:i/>
          <w:iCs/>
          <w:color w:val="000000"/>
          <w:szCs w:val="22"/>
        </w:rPr>
        <w:t>Id</w:t>
      </w:r>
      <w:r w:rsidRPr="00D53811">
        <w:rPr>
          <w:i/>
          <w:color w:val="000000"/>
          <w:szCs w:val="22"/>
        </w:rPr>
        <w:t>.</w:t>
      </w:r>
    </w:p>
  </w:footnote>
  <w:footnote w:id="394">
    <w:p w14:paraId="7F29D97C" w14:textId="6D5EF8EA"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smallCaps/>
          <w:color w:val="000000"/>
          <w:szCs w:val="22"/>
        </w:rPr>
        <w:t xml:space="preserve">Tex. </w:t>
      </w:r>
      <w:r>
        <w:rPr>
          <w:smallCaps/>
          <w:color w:val="000000"/>
          <w:szCs w:val="22"/>
        </w:rPr>
        <w:t>Prop.</w:t>
      </w:r>
      <w:r w:rsidRPr="00E26603">
        <w:rPr>
          <w:smallCaps/>
          <w:color w:val="000000"/>
          <w:szCs w:val="22"/>
        </w:rPr>
        <w:t xml:space="preserve"> Code</w:t>
      </w:r>
      <w:r>
        <w:rPr>
          <w:smallCaps/>
          <w:color w:val="000000"/>
          <w:szCs w:val="22"/>
        </w:rPr>
        <w:t xml:space="preserve"> Ann.</w:t>
      </w:r>
      <w:r w:rsidRPr="00E26603">
        <w:rPr>
          <w:color w:val="000000"/>
          <w:szCs w:val="22"/>
        </w:rPr>
        <w:t xml:space="preserve"> § 114.007.</w:t>
      </w:r>
    </w:p>
  </w:footnote>
  <w:footnote w:id="395">
    <w:p w14:paraId="03897172" w14:textId="1CC83D6B"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color w:val="000000"/>
          <w:szCs w:val="22"/>
        </w:rPr>
        <w:t xml:space="preserve">Pacheco, </w:t>
      </w:r>
      <w:r w:rsidRPr="00E26603">
        <w:rPr>
          <w:i/>
          <w:iCs/>
          <w:color w:val="000000"/>
          <w:szCs w:val="22"/>
        </w:rPr>
        <w:t>supra</w:t>
      </w:r>
      <w:r w:rsidRPr="003F1248">
        <w:rPr>
          <w:iCs/>
          <w:color w:val="000000"/>
          <w:szCs w:val="22"/>
        </w:rPr>
        <w:t xml:space="preserve"> </w:t>
      </w:r>
      <w:r w:rsidRPr="00E26603">
        <w:rPr>
          <w:color w:val="000000"/>
          <w:szCs w:val="22"/>
        </w:rPr>
        <w:t xml:space="preserve">note </w:t>
      </w:r>
      <w:r>
        <w:rPr>
          <w:color w:val="000000"/>
          <w:szCs w:val="22"/>
        </w:rPr>
        <w:fldChar w:fldCharType="begin"/>
      </w:r>
      <w:r>
        <w:rPr>
          <w:color w:val="000000"/>
          <w:szCs w:val="22"/>
        </w:rPr>
        <w:instrText xml:space="preserve"> NOTEREF _Ref33805468 \h </w:instrText>
      </w:r>
      <w:r>
        <w:rPr>
          <w:color w:val="000000"/>
          <w:szCs w:val="22"/>
        </w:rPr>
      </w:r>
      <w:r>
        <w:rPr>
          <w:color w:val="000000"/>
          <w:szCs w:val="22"/>
        </w:rPr>
        <w:fldChar w:fldCharType="separate"/>
      </w:r>
      <w:r>
        <w:rPr>
          <w:color w:val="000000"/>
          <w:szCs w:val="22"/>
        </w:rPr>
        <w:t>96</w:t>
      </w:r>
      <w:r>
        <w:rPr>
          <w:color w:val="000000"/>
          <w:szCs w:val="22"/>
        </w:rPr>
        <w:fldChar w:fldCharType="end"/>
      </w:r>
      <w:r>
        <w:rPr>
          <w:color w:val="000000"/>
          <w:szCs w:val="22"/>
        </w:rPr>
        <w:t>, at 33.</w:t>
      </w:r>
    </w:p>
  </w:footnote>
  <w:footnote w:id="396">
    <w:p w14:paraId="4AD1DE95" w14:textId="4C14A528"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Id.</w:t>
      </w:r>
    </w:p>
  </w:footnote>
  <w:footnote w:id="397">
    <w:p w14:paraId="7054CE7F" w14:textId="5545EDF0"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D53811">
        <w:rPr>
          <w:i/>
          <w:iCs/>
          <w:color w:val="000000"/>
          <w:szCs w:val="22"/>
        </w:rPr>
        <w:t>Id</w:t>
      </w:r>
      <w:r w:rsidRPr="00D53811">
        <w:rPr>
          <w:i/>
          <w:color w:val="000000"/>
          <w:szCs w:val="22"/>
        </w:rPr>
        <w:t>.</w:t>
      </w:r>
    </w:p>
  </w:footnote>
  <w:footnote w:id="398">
    <w:p w14:paraId="0082CC36" w14:textId="21FA9CDB"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D53811">
        <w:rPr>
          <w:i/>
          <w:iCs/>
          <w:color w:val="000000"/>
          <w:szCs w:val="22"/>
        </w:rPr>
        <w:t>Id</w:t>
      </w:r>
      <w:r w:rsidRPr="00D53811">
        <w:rPr>
          <w:i/>
          <w:color w:val="000000"/>
          <w:szCs w:val="22"/>
        </w:rPr>
        <w:t>.</w:t>
      </w:r>
    </w:p>
  </w:footnote>
  <w:footnote w:id="399">
    <w:p w14:paraId="34E0E0A6" w14:textId="3E9FD262" w:rsidR="0070346C" w:rsidRPr="0014127B" w:rsidRDefault="0070346C" w:rsidP="00561F7C">
      <w:pPr>
        <w:pStyle w:val="FootnoteText"/>
        <w:tabs>
          <w:tab w:val="clear" w:pos="600"/>
          <w:tab w:val="left" w:pos="605"/>
        </w:tabs>
        <w:spacing w:line="480" w:lineRule="auto"/>
        <w:rPr>
          <w:i/>
          <w:iCs/>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Pr>
          <w:i/>
          <w:iCs/>
          <w:color w:val="000000"/>
          <w:szCs w:val="22"/>
        </w:rPr>
        <w:t>Id.</w:t>
      </w:r>
    </w:p>
  </w:footnote>
  <w:footnote w:id="400">
    <w:p w14:paraId="32172084" w14:textId="63EBB159" w:rsidR="0070346C" w:rsidRPr="00E26603" w:rsidRDefault="0070346C" w:rsidP="00561F7C">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supra</w:t>
      </w:r>
      <w:r w:rsidRPr="00E26603">
        <w:rPr>
          <w:color w:val="000000"/>
          <w:szCs w:val="22"/>
        </w:rPr>
        <w:t xml:space="preserve"> </w:t>
      </w:r>
      <w:r>
        <w:rPr>
          <w:color w:val="000000"/>
          <w:szCs w:val="22"/>
        </w:rPr>
        <w:t>notes 1-10 and accompanying text.</w:t>
      </w:r>
      <w:r w:rsidRPr="00E26603">
        <w:rPr>
          <w:color w:val="000000"/>
          <w:szCs w:val="22"/>
        </w:rPr>
        <w:t xml:space="preserve"> </w:t>
      </w:r>
    </w:p>
  </w:footnote>
  <w:footnote w:id="401">
    <w:p w14:paraId="3C472F9F" w14:textId="63FF8CAE" w:rsidR="0070346C" w:rsidRPr="00E26603" w:rsidRDefault="0070346C" w:rsidP="0014127B">
      <w:pPr>
        <w:pStyle w:val="FootnoteText"/>
        <w:tabs>
          <w:tab w:val="clear" w:pos="600"/>
          <w:tab w:val="left" w:pos="605"/>
        </w:tabs>
        <w:spacing w:line="480" w:lineRule="auto"/>
        <w:rPr>
          <w:color w:val="000000"/>
          <w:szCs w:val="22"/>
        </w:rPr>
      </w:pPr>
      <w:r>
        <w:rPr>
          <w:color w:val="000000"/>
          <w:szCs w:val="22"/>
        </w:rPr>
        <w:tab/>
      </w:r>
      <w:r w:rsidRPr="00E26603">
        <w:rPr>
          <w:rStyle w:val="FootnoteReference"/>
          <w:color w:val="000000"/>
          <w:sz w:val="16"/>
          <w:szCs w:val="22"/>
          <w:vertAlign w:val="baseline"/>
        </w:rPr>
        <w:footnoteRef/>
      </w:r>
      <w:r>
        <w:rPr>
          <w:color w:val="000000"/>
          <w:szCs w:val="22"/>
        </w:rPr>
        <w:t>.</w:t>
      </w:r>
      <w:r>
        <w:rPr>
          <w:color w:val="000000"/>
          <w:szCs w:val="22"/>
        </w:rPr>
        <w:tab/>
      </w:r>
      <w:r w:rsidRPr="00E26603">
        <w:rPr>
          <w:i/>
          <w:iCs/>
          <w:color w:val="000000"/>
          <w:szCs w:val="22"/>
        </w:rPr>
        <w:t>See supra</w:t>
      </w:r>
      <w:r w:rsidRPr="00E26603">
        <w:rPr>
          <w:color w:val="000000"/>
          <w:szCs w:val="22"/>
        </w:rPr>
        <w:t xml:space="preserve"> </w:t>
      </w:r>
      <w:r>
        <w:rPr>
          <w:color w:val="000000"/>
          <w:szCs w:val="22"/>
        </w:rPr>
        <w:t>notes 1-10 and accompanying text.</w:t>
      </w:r>
      <w:r w:rsidRPr="00E26603">
        <w:rPr>
          <w:color w:val="000000"/>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4865" w14:textId="4F59743F" w:rsidR="0070346C" w:rsidRPr="003C3720" w:rsidRDefault="00EC65C6" w:rsidP="0014127B">
    <w:pPr>
      <w:tabs>
        <w:tab w:val="center" w:pos="3360"/>
        <w:tab w:val="right" w:pos="6720"/>
      </w:tabs>
      <w:spacing w:line="260" w:lineRule="exact"/>
      <w:jc w:val="center"/>
      <w:rPr>
        <w:sz w:val="18"/>
        <w:szCs w:val="18"/>
      </w:rPr>
    </w:pPr>
    <w:r>
      <w:rPr>
        <w:i/>
        <w:sz w:val="18"/>
        <w:szCs w:val="18"/>
      </w:rPr>
      <w:t>INSIDE THE MIND OF A TRUSTEE</w:t>
    </w:r>
  </w:p>
  <w:p w14:paraId="1B584866" w14:textId="77777777" w:rsidR="0070346C" w:rsidRPr="006F49F8" w:rsidRDefault="0070346C">
    <w:pPr>
      <w:spacing w:line="240" w:lineRule="exac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8732" w14:textId="3D0FDF27" w:rsidR="00EC65C6" w:rsidRPr="003C3720" w:rsidRDefault="0070346C">
    <w:pPr>
      <w:tabs>
        <w:tab w:val="center" w:pos="3360"/>
        <w:tab w:val="right" w:pos="6720"/>
      </w:tabs>
      <w:spacing w:line="260" w:lineRule="exact"/>
      <w:rPr>
        <w:sz w:val="18"/>
        <w:szCs w:val="18"/>
      </w:rPr>
    </w:pPr>
    <w:r>
      <w:rPr>
        <w:sz w:val="18"/>
        <w:szCs w:val="18"/>
      </w:rPr>
      <w:tab/>
    </w:r>
    <w:r>
      <w:rPr>
        <w:i/>
        <w:sz w:val="18"/>
        <w:szCs w:val="18"/>
      </w:rPr>
      <w:t>INSIDE THE MIND OF A TRUSTEE</w:t>
    </w:r>
    <w:r>
      <w:rPr>
        <w:i/>
        <w:sz w:val="18"/>
        <w:szCs w:val="18"/>
      </w:rPr>
      <w:tab/>
    </w:r>
  </w:p>
  <w:p w14:paraId="1B584868" w14:textId="77777777" w:rsidR="0070346C" w:rsidRPr="006F49F8" w:rsidRDefault="0070346C" w:rsidP="0014127B">
    <w:pPr>
      <w:tabs>
        <w:tab w:val="center" w:pos="3360"/>
        <w:tab w:val="right" w:pos="6720"/>
      </w:tabs>
      <w:spacing w:line="260" w:lineRule="exac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3CAC"/>
    <w:multiLevelType w:val="hybridMultilevel"/>
    <w:tmpl w:val="952A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C4E09"/>
    <w:multiLevelType w:val="hybridMultilevel"/>
    <w:tmpl w:val="35CE9036"/>
    <w:lvl w:ilvl="0" w:tplc="04090001">
      <w:start w:val="1"/>
      <w:numFmt w:val="bullet"/>
      <w:lvlText w:val=""/>
      <w:lvlJc w:val="left"/>
      <w:pPr>
        <w:ind w:left="2246" w:hanging="360"/>
      </w:pPr>
      <w:rPr>
        <w:rFonts w:ascii="Symbol" w:hAnsi="Symbol" w:hint="default"/>
      </w:rPr>
    </w:lvl>
    <w:lvl w:ilvl="1" w:tplc="04090003">
      <w:start w:val="1"/>
      <w:numFmt w:val="bullet"/>
      <w:lvlText w:val="o"/>
      <w:lvlJc w:val="left"/>
      <w:pPr>
        <w:ind w:left="2966" w:hanging="360"/>
      </w:pPr>
      <w:rPr>
        <w:rFonts w:ascii="Courier New" w:hAnsi="Courier New" w:cs="Courier New" w:hint="default"/>
      </w:rPr>
    </w:lvl>
    <w:lvl w:ilvl="2" w:tplc="04090005" w:tentative="1">
      <w:start w:val="1"/>
      <w:numFmt w:val="bullet"/>
      <w:lvlText w:val=""/>
      <w:lvlJc w:val="left"/>
      <w:pPr>
        <w:ind w:left="3686" w:hanging="360"/>
      </w:pPr>
      <w:rPr>
        <w:rFonts w:ascii="Wingdings" w:hAnsi="Wingdings" w:hint="default"/>
      </w:rPr>
    </w:lvl>
    <w:lvl w:ilvl="3" w:tplc="04090001" w:tentative="1">
      <w:start w:val="1"/>
      <w:numFmt w:val="bullet"/>
      <w:lvlText w:val=""/>
      <w:lvlJc w:val="left"/>
      <w:pPr>
        <w:ind w:left="4406" w:hanging="360"/>
      </w:pPr>
      <w:rPr>
        <w:rFonts w:ascii="Symbol" w:hAnsi="Symbol" w:hint="default"/>
      </w:rPr>
    </w:lvl>
    <w:lvl w:ilvl="4" w:tplc="04090003" w:tentative="1">
      <w:start w:val="1"/>
      <w:numFmt w:val="bullet"/>
      <w:lvlText w:val="o"/>
      <w:lvlJc w:val="left"/>
      <w:pPr>
        <w:ind w:left="5126" w:hanging="360"/>
      </w:pPr>
      <w:rPr>
        <w:rFonts w:ascii="Courier New" w:hAnsi="Courier New" w:cs="Courier New" w:hint="default"/>
      </w:rPr>
    </w:lvl>
    <w:lvl w:ilvl="5" w:tplc="04090005" w:tentative="1">
      <w:start w:val="1"/>
      <w:numFmt w:val="bullet"/>
      <w:lvlText w:val=""/>
      <w:lvlJc w:val="left"/>
      <w:pPr>
        <w:ind w:left="5846" w:hanging="360"/>
      </w:pPr>
      <w:rPr>
        <w:rFonts w:ascii="Wingdings" w:hAnsi="Wingdings" w:hint="default"/>
      </w:rPr>
    </w:lvl>
    <w:lvl w:ilvl="6" w:tplc="04090001" w:tentative="1">
      <w:start w:val="1"/>
      <w:numFmt w:val="bullet"/>
      <w:lvlText w:val=""/>
      <w:lvlJc w:val="left"/>
      <w:pPr>
        <w:ind w:left="6566" w:hanging="360"/>
      </w:pPr>
      <w:rPr>
        <w:rFonts w:ascii="Symbol" w:hAnsi="Symbol" w:hint="default"/>
      </w:rPr>
    </w:lvl>
    <w:lvl w:ilvl="7" w:tplc="04090003" w:tentative="1">
      <w:start w:val="1"/>
      <w:numFmt w:val="bullet"/>
      <w:lvlText w:val="o"/>
      <w:lvlJc w:val="left"/>
      <w:pPr>
        <w:ind w:left="7286" w:hanging="360"/>
      </w:pPr>
      <w:rPr>
        <w:rFonts w:ascii="Courier New" w:hAnsi="Courier New" w:cs="Courier New" w:hint="default"/>
      </w:rPr>
    </w:lvl>
    <w:lvl w:ilvl="8" w:tplc="04090005" w:tentative="1">
      <w:start w:val="1"/>
      <w:numFmt w:val="bullet"/>
      <w:lvlText w:val=""/>
      <w:lvlJc w:val="left"/>
      <w:pPr>
        <w:ind w:left="8006" w:hanging="360"/>
      </w:pPr>
      <w:rPr>
        <w:rFonts w:ascii="Wingdings" w:hAnsi="Wingdings" w:hint="default"/>
      </w:rPr>
    </w:lvl>
  </w:abstractNum>
  <w:abstractNum w:abstractNumId="2" w15:restartNumberingAfterBreak="0">
    <w:nsid w:val="13585BA1"/>
    <w:multiLevelType w:val="hybridMultilevel"/>
    <w:tmpl w:val="D926456A"/>
    <w:lvl w:ilvl="0" w:tplc="8D70811A">
      <w:start w:val="1"/>
      <w:numFmt w:val="lowerRoman"/>
      <w:pStyle w:val="Heading45"/>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8F77068"/>
    <w:multiLevelType w:val="hybridMultilevel"/>
    <w:tmpl w:val="42A8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60B12"/>
    <w:multiLevelType w:val="hybridMultilevel"/>
    <w:tmpl w:val="AEF4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908E1"/>
    <w:multiLevelType w:val="hybridMultilevel"/>
    <w:tmpl w:val="9988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816E9"/>
    <w:multiLevelType w:val="hybridMultilevel"/>
    <w:tmpl w:val="6086858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7" w15:restartNumberingAfterBreak="0">
    <w:nsid w:val="2A8148D4"/>
    <w:multiLevelType w:val="hybridMultilevel"/>
    <w:tmpl w:val="21C4AA8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8" w15:restartNumberingAfterBreak="0">
    <w:nsid w:val="30AD0A5C"/>
    <w:multiLevelType w:val="hybridMultilevel"/>
    <w:tmpl w:val="4E74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26F13"/>
    <w:multiLevelType w:val="hybridMultilevel"/>
    <w:tmpl w:val="0C70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B0091"/>
    <w:multiLevelType w:val="hybridMultilevel"/>
    <w:tmpl w:val="81F2BCAA"/>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1" w15:restartNumberingAfterBreak="0">
    <w:nsid w:val="403F6A7F"/>
    <w:multiLevelType w:val="hybridMultilevel"/>
    <w:tmpl w:val="ED6A963C"/>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15:restartNumberingAfterBreak="0">
    <w:nsid w:val="57715795"/>
    <w:multiLevelType w:val="multilevel"/>
    <w:tmpl w:val="04090023"/>
    <w:lvl w:ilvl="0">
      <w:start w:val="1"/>
      <w:numFmt w:val="upperRoman"/>
      <w:pStyle w:val="Heading1"/>
      <w:lvlText w:val="Article %1."/>
      <w:lvlJc w:val="left"/>
      <w:pPr>
        <w:tabs>
          <w:tab w:val="num" w:pos="2160"/>
        </w:tabs>
        <w:ind w:left="720" w:firstLine="0"/>
      </w:pPr>
    </w:lvl>
    <w:lvl w:ilvl="1">
      <w:start w:val="1"/>
      <w:numFmt w:val="decimalZero"/>
      <w:pStyle w:val="Heading2"/>
      <w:isLgl/>
      <w:lvlText w:val="Section %1.%2"/>
      <w:lvlJc w:val="left"/>
      <w:pPr>
        <w:tabs>
          <w:tab w:val="num" w:pos="1800"/>
        </w:tabs>
        <w:ind w:left="720" w:firstLine="0"/>
      </w:pPr>
    </w:lvl>
    <w:lvl w:ilvl="2">
      <w:start w:val="1"/>
      <w:numFmt w:val="lowerLetter"/>
      <w:pStyle w:val="Heading3"/>
      <w:lvlText w:val="(%3)"/>
      <w:lvlJc w:val="left"/>
      <w:pPr>
        <w:tabs>
          <w:tab w:val="num" w:pos="1440"/>
        </w:tabs>
        <w:ind w:left="1440" w:hanging="432"/>
      </w:pPr>
    </w:lvl>
    <w:lvl w:ilvl="3">
      <w:start w:val="1"/>
      <w:numFmt w:val="lowerRoman"/>
      <w:pStyle w:val="Heading4"/>
      <w:lvlText w:val="(%4)"/>
      <w:lvlJc w:val="right"/>
      <w:pPr>
        <w:tabs>
          <w:tab w:val="num" w:pos="1404"/>
        </w:tabs>
        <w:ind w:left="1404" w:hanging="144"/>
      </w:pPr>
    </w:lvl>
    <w:lvl w:ilvl="4">
      <w:start w:val="1"/>
      <w:numFmt w:val="decimal"/>
      <w:pStyle w:val="Heading5"/>
      <w:lvlText w:val="%5)"/>
      <w:lvlJc w:val="left"/>
      <w:pPr>
        <w:tabs>
          <w:tab w:val="num" w:pos="1728"/>
        </w:tabs>
        <w:ind w:left="1728" w:hanging="432"/>
      </w:pPr>
    </w:lvl>
    <w:lvl w:ilvl="5">
      <w:start w:val="1"/>
      <w:numFmt w:val="lowerLetter"/>
      <w:pStyle w:val="Heading6"/>
      <w:lvlText w:val="%6)"/>
      <w:lvlJc w:val="left"/>
      <w:pPr>
        <w:tabs>
          <w:tab w:val="num" w:pos="1872"/>
        </w:tabs>
        <w:ind w:left="1872" w:hanging="432"/>
      </w:pPr>
    </w:lvl>
    <w:lvl w:ilvl="6">
      <w:start w:val="1"/>
      <w:numFmt w:val="lowerRoman"/>
      <w:pStyle w:val="Heading7"/>
      <w:lvlText w:val="%7)"/>
      <w:lvlJc w:val="right"/>
      <w:pPr>
        <w:tabs>
          <w:tab w:val="num" w:pos="2016"/>
        </w:tabs>
        <w:ind w:left="2016" w:hanging="288"/>
      </w:pPr>
    </w:lvl>
    <w:lvl w:ilvl="7">
      <w:start w:val="1"/>
      <w:numFmt w:val="lowerLetter"/>
      <w:pStyle w:val="Heading8"/>
      <w:lvlText w:val="%8."/>
      <w:lvlJc w:val="left"/>
      <w:pPr>
        <w:tabs>
          <w:tab w:val="num" w:pos="2160"/>
        </w:tabs>
        <w:ind w:left="2160" w:hanging="432"/>
      </w:pPr>
    </w:lvl>
    <w:lvl w:ilvl="8">
      <w:start w:val="1"/>
      <w:numFmt w:val="lowerRoman"/>
      <w:pStyle w:val="Heading9"/>
      <w:lvlText w:val="%9."/>
      <w:lvlJc w:val="right"/>
      <w:pPr>
        <w:tabs>
          <w:tab w:val="num" w:pos="2304"/>
        </w:tabs>
        <w:ind w:left="2304" w:hanging="144"/>
      </w:pPr>
    </w:lvl>
  </w:abstractNum>
  <w:abstractNum w:abstractNumId="13" w15:restartNumberingAfterBreak="0">
    <w:nsid w:val="5D7C1BB2"/>
    <w:multiLevelType w:val="hybridMultilevel"/>
    <w:tmpl w:val="6B5AD96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4" w15:restartNumberingAfterBreak="0">
    <w:nsid w:val="61291A57"/>
    <w:multiLevelType w:val="hybridMultilevel"/>
    <w:tmpl w:val="1FF69E9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abstractNumId w:val="12"/>
  </w:num>
  <w:num w:numId="2">
    <w:abstractNumId w:val="2"/>
  </w:num>
  <w:num w:numId="3">
    <w:abstractNumId w:val="9"/>
  </w:num>
  <w:num w:numId="4">
    <w:abstractNumId w:val="3"/>
  </w:num>
  <w:num w:numId="5">
    <w:abstractNumId w:val="8"/>
  </w:num>
  <w:num w:numId="6">
    <w:abstractNumId w:val="4"/>
  </w:num>
  <w:num w:numId="7">
    <w:abstractNumId w:val="5"/>
  </w:num>
  <w:num w:numId="8">
    <w:abstractNumId w:val="0"/>
  </w:num>
  <w:num w:numId="9">
    <w:abstractNumId w:val="10"/>
  </w:num>
  <w:num w:numId="10">
    <w:abstractNumId w:val="11"/>
  </w:num>
  <w:num w:numId="11">
    <w:abstractNumId w:val="14"/>
  </w:num>
  <w:num w:numId="12">
    <w:abstractNumId w:val="7"/>
  </w:num>
  <w:num w:numId="13">
    <w:abstractNumId w:val="1"/>
  </w:num>
  <w:num w:numId="14">
    <w:abstractNumId w:val="13"/>
  </w:num>
  <w:num w:numId="15">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erine Akinc">
    <w15:presenceInfo w15:providerId="None" w15:userId="Katherine Ak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1C"/>
    <w:rsid w:val="000025F3"/>
    <w:rsid w:val="000160DB"/>
    <w:rsid w:val="0003294E"/>
    <w:rsid w:val="00032EBB"/>
    <w:rsid w:val="00034290"/>
    <w:rsid w:val="0003503C"/>
    <w:rsid w:val="00045990"/>
    <w:rsid w:val="00046242"/>
    <w:rsid w:val="00051219"/>
    <w:rsid w:val="00062867"/>
    <w:rsid w:val="00065E00"/>
    <w:rsid w:val="00085C46"/>
    <w:rsid w:val="000878F8"/>
    <w:rsid w:val="0009519C"/>
    <w:rsid w:val="00095A8B"/>
    <w:rsid w:val="000A2297"/>
    <w:rsid w:val="000A4FD6"/>
    <w:rsid w:val="000A6FEC"/>
    <w:rsid w:val="000C3B64"/>
    <w:rsid w:val="000D0268"/>
    <w:rsid w:val="000D3EFB"/>
    <w:rsid w:val="000D5E2C"/>
    <w:rsid w:val="000D7987"/>
    <w:rsid w:val="000E743E"/>
    <w:rsid w:val="000F09FE"/>
    <w:rsid w:val="000F305D"/>
    <w:rsid w:val="00106E2C"/>
    <w:rsid w:val="001120C9"/>
    <w:rsid w:val="00116EB3"/>
    <w:rsid w:val="00124019"/>
    <w:rsid w:val="001316D0"/>
    <w:rsid w:val="0013176F"/>
    <w:rsid w:val="00134833"/>
    <w:rsid w:val="0014127B"/>
    <w:rsid w:val="00143E56"/>
    <w:rsid w:val="00147DE5"/>
    <w:rsid w:val="001535F2"/>
    <w:rsid w:val="00154781"/>
    <w:rsid w:val="00160285"/>
    <w:rsid w:val="00161560"/>
    <w:rsid w:val="00163AC0"/>
    <w:rsid w:val="001677CD"/>
    <w:rsid w:val="00174AE1"/>
    <w:rsid w:val="001763F7"/>
    <w:rsid w:val="00190488"/>
    <w:rsid w:val="001924B5"/>
    <w:rsid w:val="00193488"/>
    <w:rsid w:val="0019709B"/>
    <w:rsid w:val="00197BF7"/>
    <w:rsid w:val="001A0520"/>
    <w:rsid w:val="001A065F"/>
    <w:rsid w:val="001A6DCB"/>
    <w:rsid w:val="001D54E1"/>
    <w:rsid w:val="001E4DB5"/>
    <w:rsid w:val="001E5736"/>
    <w:rsid w:val="001F39B0"/>
    <w:rsid w:val="001F7E84"/>
    <w:rsid w:val="00202993"/>
    <w:rsid w:val="00203B85"/>
    <w:rsid w:val="00203D8A"/>
    <w:rsid w:val="00203DE6"/>
    <w:rsid w:val="00207F9C"/>
    <w:rsid w:val="00210F60"/>
    <w:rsid w:val="00216670"/>
    <w:rsid w:val="00227F0C"/>
    <w:rsid w:val="00230AF9"/>
    <w:rsid w:val="00242341"/>
    <w:rsid w:val="0025576E"/>
    <w:rsid w:val="00272013"/>
    <w:rsid w:val="00277F62"/>
    <w:rsid w:val="0028401B"/>
    <w:rsid w:val="00292C45"/>
    <w:rsid w:val="00294A39"/>
    <w:rsid w:val="002A3016"/>
    <w:rsid w:val="002A4833"/>
    <w:rsid w:val="002A5F21"/>
    <w:rsid w:val="002D43F3"/>
    <w:rsid w:val="002D72C0"/>
    <w:rsid w:val="002E20A5"/>
    <w:rsid w:val="00305406"/>
    <w:rsid w:val="003072DC"/>
    <w:rsid w:val="003111FC"/>
    <w:rsid w:val="003144AE"/>
    <w:rsid w:val="003164A0"/>
    <w:rsid w:val="00317C01"/>
    <w:rsid w:val="00321BD3"/>
    <w:rsid w:val="00326AA1"/>
    <w:rsid w:val="00327D7E"/>
    <w:rsid w:val="00332111"/>
    <w:rsid w:val="00334BF4"/>
    <w:rsid w:val="003350B5"/>
    <w:rsid w:val="003506F4"/>
    <w:rsid w:val="00356E6A"/>
    <w:rsid w:val="0036267F"/>
    <w:rsid w:val="00364B03"/>
    <w:rsid w:val="003704E3"/>
    <w:rsid w:val="00376177"/>
    <w:rsid w:val="00380ACC"/>
    <w:rsid w:val="00394870"/>
    <w:rsid w:val="003A0665"/>
    <w:rsid w:val="003A2B98"/>
    <w:rsid w:val="003B563C"/>
    <w:rsid w:val="003C1F8D"/>
    <w:rsid w:val="003C2A77"/>
    <w:rsid w:val="003C303E"/>
    <w:rsid w:val="003C3720"/>
    <w:rsid w:val="003C52C8"/>
    <w:rsid w:val="003E136F"/>
    <w:rsid w:val="003E7BA9"/>
    <w:rsid w:val="003F1248"/>
    <w:rsid w:val="003F6FCC"/>
    <w:rsid w:val="00402026"/>
    <w:rsid w:val="00402B58"/>
    <w:rsid w:val="00405B63"/>
    <w:rsid w:val="00414319"/>
    <w:rsid w:val="004230B4"/>
    <w:rsid w:val="004316F7"/>
    <w:rsid w:val="0043548D"/>
    <w:rsid w:val="004521FF"/>
    <w:rsid w:val="004543FF"/>
    <w:rsid w:val="00455300"/>
    <w:rsid w:val="00455781"/>
    <w:rsid w:val="0047239E"/>
    <w:rsid w:val="00474208"/>
    <w:rsid w:val="0047617C"/>
    <w:rsid w:val="00477BA9"/>
    <w:rsid w:val="00483E13"/>
    <w:rsid w:val="004842C8"/>
    <w:rsid w:val="00490AFC"/>
    <w:rsid w:val="00491726"/>
    <w:rsid w:val="00491BEC"/>
    <w:rsid w:val="004A07F0"/>
    <w:rsid w:val="004A2D20"/>
    <w:rsid w:val="004A31F4"/>
    <w:rsid w:val="004A4BC2"/>
    <w:rsid w:val="004C290F"/>
    <w:rsid w:val="004C3A4C"/>
    <w:rsid w:val="004F25F4"/>
    <w:rsid w:val="004F2F0A"/>
    <w:rsid w:val="004F733A"/>
    <w:rsid w:val="004F7725"/>
    <w:rsid w:val="005064B0"/>
    <w:rsid w:val="00520165"/>
    <w:rsid w:val="00531A76"/>
    <w:rsid w:val="00533E23"/>
    <w:rsid w:val="00536F60"/>
    <w:rsid w:val="005603C0"/>
    <w:rsid w:val="00561DE2"/>
    <w:rsid w:val="00561F7C"/>
    <w:rsid w:val="00565E28"/>
    <w:rsid w:val="005713D6"/>
    <w:rsid w:val="00576291"/>
    <w:rsid w:val="00594159"/>
    <w:rsid w:val="00596EDB"/>
    <w:rsid w:val="005B7FF2"/>
    <w:rsid w:val="005C345C"/>
    <w:rsid w:val="005E371E"/>
    <w:rsid w:val="005F21E4"/>
    <w:rsid w:val="005F24C3"/>
    <w:rsid w:val="0060235E"/>
    <w:rsid w:val="00614423"/>
    <w:rsid w:val="006224F8"/>
    <w:rsid w:val="0062469D"/>
    <w:rsid w:val="0063379D"/>
    <w:rsid w:val="0063712A"/>
    <w:rsid w:val="00637449"/>
    <w:rsid w:val="0064721F"/>
    <w:rsid w:val="00650538"/>
    <w:rsid w:val="00663563"/>
    <w:rsid w:val="0067379F"/>
    <w:rsid w:val="00685F30"/>
    <w:rsid w:val="00690525"/>
    <w:rsid w:val="00691C04"/>
    <w:rsid w:val="0069571C"/>
    <w:rsid w:val="0069626A"/>
    <w:rsid w:val="006A0C9E"/>
    <w:rsid w:val="006C2CCE"/>
    <w:rsid w:val="006D3849"/>
    <w:rsid w:val="006D77C8"/>
    <w:rsid w:val="006E1208"/>
    <w:rsid w:val="006E2D64"/>
    <w:rsid w:val="006F051C"/>
    <w:rsid w:val="006F0B20"/>
    <w:rsid w:val="006F25C3"/>
    <w:rsid w:val="006F49F8"/>
    <w:rsid w:val="00701743"/>
    <w:rsid w:val="0070346C"/>
    <w:rsid w:val="00713E7A"/>
    <w:rsid w:val="00721067"/>
    <w:rsid w:val="007305F0"/>
    <w:rsid w:val="00746A13"/>
    <w:rsid w:val="0074766C"/>
    <w:rsid w:val="007572B2"/>
    <w:rsid w:val="007634E0"/>
    <w:rsid w:val="0076371A"/>
    <w:rsid w:val="00766549"/>
    <w:rsid w:val="00767102"/>
    <w:rsid w:val="007770A8"/>
    <w:rsid w:val="00777A7D"/>
    <w:rsid w:val="00780177"/>
    <w:rsid w:val="0079577E"/>
    <w:rsid w:val="007A008B"/>
    <w:rsid w:val="007A762C"/>
    <w:rsid w:val="007A7FF1"/>
    <w:rsid w:val="007B0777"/>
    <w:rsid w:val="007B71A4"/>
    <w:rsid w:val="007C4586"/>
    <w:rsid w:val="007C78D7"/>
    <w:rsid w:val="007E519A"/>
    <w:rsid w:val="007E7438"/>
    <w:rsid w:val="00800AA1"/>
    <w:rsid w:val="00807528"/>
    <w:rsid w:val="00814430"/>
    <w:rsid w:val="00821384"/>
    <w:rsid w:val="0083083B"/>
    <w:rsid w:val="0083661E"/>
    <w:rsid w:val="00841952"/>
    <w:rsid w:val="008474D5"/>
    <w:rsid w:val="00855402"/>
    <w:rsid w:val="00856F83"/>
    <w:rsid w:val="0086191A"/>
    <w:rsid w:val="008621D9"/>
    <w:rsid w:val="008626D5"/>
    <w:rsid w:val="00866CED"/>
    <w:rsid w:val="00871E30"/>
    <w:rsid w:val="00886936"/>
    <w:rsid w:val="00886980"/>
    <w:rsid w:val="008A10C8"/>
    <w:rsid w:val="008A1CD0"/>
    <w:rsid w:val="008A5667"/>
    <w:rsid w:val="008B1102"/>
    <w:rsid w:val="008B3810"/>
    <w:rsid w:val="008C11AD"/>
    <w:rsid w:val="008C49FA"/>
    <w:rsid w:val="008C701E"/>
    <w:rsid w:val="008D0465"/>
    <w:rsid w:val="008D07B0"/>
    <w:rsid w:val="008E433C"/>
    <w:rsid w:val="008F616E"/>
    <w:rsid w:val="008F778B"/>
    <w:rsid w:val="00900397"/>
    <w:rsid w:val="00907A3B"/>
    <w:rsid w:val="0092323E"/>
    <w:rsid w:val="0092439F"/>
    <w:rsid w:val="00936164"/>
    <w:rsid w:val="009372C9"/>
    <w:rsid w:val="009403F1"/>
    <w:rsid w:val="0094387C"/>
    <w:rsid w:val="00945E29"/>
    <w:rsid w:val="00947C65"/>
    <w:rsid w:val="00952D0F"/>
    <w:rsid w:val="00960C66"/>
    <w:rsid w:val="00964B6F"/>
    <w:rsid w:val="00976138"/>
    <w:rsid w:val="00977065"/>
    <w:rsid w:val="009809A2"/>
    <w:rsid w:val="009840E1"/>
    <w:rsid w:val="009873A8"/>
    <w:rsid w:val="00987D0F"/>
    <w:rsid w:val="009A1DEE"/>
    <w:rsid w:val="009A46AE"/>
    <w:rsid w:val="009A7FC4"/>
    <w:rsid w:val="009C6EA7"/>
    <w:rsid w:val="009C7D64"/>
    <w:rsid w:val="009F4791"/>
    <w:rsid w:val="00A154F2"/>
    <w:rsid w:val="00A17922"/>
    <w:rsid w:val="00A3646D"/>
    <w:rsid w:val="00A47D31"/>
    <w:rsid w:val="00A5720B"/>
    <w:rsid w:val="00A64E88"/>
    <w:rsid w:val="00A725DE"/>
    <w:rsid w:val="00A86F8C"/>
    <w:rsid w:val="00A91DBA"/>
    <w:rsid w:val="00A965A9"/>
    <w:rsid w:val="00A9773E"/>
    <w:rsid w:val="00AA0793"/>
    <w:rsid w:val="00AB1C83"/>
    <w:rsid w:val="00AC4215"/>
    <w:rsid w:val="00AC5A93"/>
    <w:rsid w:val="00AD1207"/>
    <w:rsid w:val="00AE1F58"/>
    <w:rsid w:val="00AF4740"/>
    <w:rsid w:val="00AF7E6F"/>
    <w:rsid w:val="00B300B3"/>
    <w:rsid w:val="00B305AA"/>
    <w:rsid w:val="00B3695E"/>
    <w:rsid w:val="00B37B53"/>
    <w:rsid w:val="00B41E44"/>
    <w:rsid w:val="00B4413B"/>
    <w:rsid w:val="00B47A71"/>
    <w:rsid w:val="00B6570A"/>
    <w:rsid w:val="00B67FBB"/>
    <w:rsid w:val="00B72F3E"/>
    <w:rsid w:val="00B74025"/>
    <w:rsid w:val="00B776D8"/>
    <w:rsid w:val="00B77F49"/>
    <w:rsid w:val="00B952B7"/>
    <w:rsid w:val="00BA36BC"/>
    <w:rsid w:val="00BB2FEA"/>
    <w:rsid w:val="00BB4B0B"/>
    <w:rsid w:val="00BB76A2"/>
    <w:rsid w:val="00BC4034"/>
    <w:rsid w:val="00BD00AE"/>
    <w:rsid w:val="00BD1642"/>
    <w:rsid w:val="00BD35B4"/>
    <w:rsid w:val="00BD415B"/>
    <w:rsid w:val="00BE11CE"/>
    <w:rsid w:val="00BE6718"/>
    <w:rsid w:val="00BF0490"/>
    <w:rsid w:val="00BF6CD6"/>
    <w:rsid w:val="00BF7AC8"/>
    <w:rsid w:val="00C04B31"/>
    <w:rsid w:val="00C105A1"/>
    <w:rsid w:val="00C131F3"/>
    <w:rsid w:val="00C21D49"/>
    <w:rsid w:val="00C37A20"/>
    <w:rsid w:val="00C41F3D"/>
    <w:rsid w:val="00C41FEC"/>
    <w:rsid w:val="00C52238"/>
    <w:rsid w:val="00C54827"/>
    <w:rsid w:val="00C56D00"/>
    <w:rsid w:val="00C6093F"/>
    <w:rsid w:val="00C61B07"/>
    <w:rsid w:val="00C6595B"/>
    <w:rsid w:val="00C71C6B"/>
    <w:rsid w:val="00C71F3A"/>
    <w:rsid w:val="00C726E3"/>
    <w:rsid w:val="00C736AB"/>
    <w:rsid w:val="00C903BC"/>
    <w:rsid w:val="00C91D84"/>
    <w:rsid w:val="00CA09A1"/>
    <w:rsid w:val="00CA5476"/>
    <w:rsid w:val="00CA6054"/>
    <w:rsid w:val="00CA7064"/>
    <w:rsid w:val="00CC0CDF"/>
    <w:rsid w:val="00CC72ED"/>
    <w:rsid w:val="00CD4BCF"/>
    <w:rsid w:val="00CD5528"/>
    <w:rsid w:val="00CE3F50"/>
    <w:rsid w:val="00CF35D9"/>
    <w:rsid w:val="00D015DB"/>
    <w:rsid w:val="00D03B13"/>
    <w:rsid w:val="00D07B33"/>
    <w:rsid w:val="00D2040F"/>
    <w:rsid w:val="00D20B9A"/>
    <w:rsid w:val="00D30DEB"/>
    <w:rsid w:val="00D3595A"/>
    <w:rsid w:val="00D35EF8"/>
    <w:rsid w:val="00D3658D"/>
    <w:rsid w:val="00D46CAB"/>
    <w:rsid w:val="00D53811"/>
    <w:rsid w:val="00D57FAF"/>
    <w:rsid w:val="00D732E4"/>
    <w:rsid w:val="00D81C48"/>
    <w:rsid w:val="00D82284"/>
    <w:rsid w:val="00DA2565"/>
    <w:rsid w:val="00DB15C2"/>
    <w:rsid w:val="00DC2D68"/>
    <w:rsid w:val="00DD31D2"/>
    <w:rsid w:val="00DD7727"/>
    <w:rsid w:val="00DE269F"/>
    <w:rsid w:val="00DE47D9"/>
    <w:rsid w:val="00DE4F74"/>
    <w:rsid w:val="00DF36B1"/>
    <w:rsid w:val="00E0611E"/>
    <w:rsid w:val="00E1548F"/>
    <w:rsid w:val="00E176E6"/>
    <w:rsid w:val="00E26603"/>
    <w:rsid w:val="00E3327F"/>
    <w:rsid w:val="00E369E6"/>
    <w:rsid w:val="00E37124"/>
    <w:rsid w:val="00E47095"/>
    <w:rsid w:val="00E47935"/>
    <w:rsid w:val="00E52DB7"/>
    <w:rsid w:val="00E54F0C"/>
    <w:rsid w:val="00E60612"/>
    <w:rsid w:val="00E67EE2"/>
    <w:rsid w:val="00E70C46"/>
    <w:rsid w:val="00E734C2"/>
    <w:rsid w:val="00E929EB"/>
    <w:rsid w:val="00EA391D"/>
    <w:rsid w:val="00EB0A05"/>
    <w:rsid w:val="00EC2AF9"/>
    <w:rsid w:val="00EC32D8"/>
    <w:rsid w:val="00EC65C6"/>
    <w:rsid w:val="00ED2A45"/>
    <w:rsid w:val="00EE5295"/>
    <w:rsid w:val="00F0012A"/>
    <w:rsid w:val="00F00B4A"/>
    <w:rsid w:val="00F10984"/>
    <w:rsid w:val="00F14DE3"/>
    <w:rsid w:val="00F174FE"/>
    <w:rsid w:val="00F20081"/>
    <w:rsid w:val="00F21F40"/>
    <w:rsid w:val="00F369F4"/>
    <w:rsid w:val="00F400FF"/>
    <w:rsid w:val="00F42A63"/>
    <w:rsid w:val="00F44C39"/>
    <w:rsid w:val="00F60A78"/>
    <w:rsid w:val="00F637EA"/>
    <w:rsid w:val="00F74C2E"/>
    <w:rsid w:val="00F76CA1"/>
    <w:rsid w:val="00F86FA3"/>
    <w:rsid w:val="00F873D9"/>
    <w:rsid w:val="00FA73F3"/>
    <w:rsid w:val="00FB2EC6"/>
    <w:rsid w:val="00FB513C"/>
    <w:rsid w:val="00FC4159"/>
    <w:rsid w:val="00FC4A92"/>
    <w:rsid w:val="00FC6A36"/>
    <w:rsid w:val="00FF0513"/>
    <w:rsid w:val="00FF4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84860"/>
  <w15:chartTrackingRefBased/>
  <w15:docId w15:val="{5C6FEFB4-89EA-4E73-8F7D-9DA327F1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Body Text Indent 2"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116EB3"/>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116EB3"/>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116EB3"/>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116EB3"/>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rsid w:val="00116EB3"/>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116EB3"/>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116EB3"/>
    <w:pPr>
      <w:numPr>
        <w:ilvl w:val="6"/>
        <w:numId w:val="1"/>
      </w:numPr>
      <w:spacing w:before="240" w:after="60"/>
      <w:outlineLvl w:val="6"/>
    </w:pPr>
  </w:style>
  <w:style w:type="paragraph" w:styleId="Heading8">
    <w:name w:val="heading 8"/>
    <w:basedOn w:val="Normal"/>
    <w:next w:val="Normal"/>
    <w:link w:val="Heading8Char"/>
    <w:uiPriority w:val="9"/>
    <w:qFormat/>
    <w:rsid w:val="00116EB3"/>
    <w:pPr>
      <w:numPr>
        <w:ilvl w:val="7"/>
        <w:numId w:val="1"/>
      </w:numPr>
      <w:spacing w:before="240" w:after="60"/>
      <w:outlineLvl w:val="7"/>
    </w:pPr>
    <w:rPr>
      <w:i/>
      <w:iCs/>
    </w:rPr>
  </w:style>
  <w:style w:type="paragraph" w:styleId="Heading9">
    <w:name w:val="heading 9"/>
    <w:basedOn w:val="Normal"/>
    <w:next w:val="Normal"/>
    <w:link w:val="Heading9Char"/>
    <w:uiPriority w:val="9"/>
    <w:qFormat/>
    <w:rsid w:val="00116EB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3D6"/>
    <w:rPr>
      <w:rFonts w:ascii="Arial" w:hAnsi="Arial" w:cs="Arial"/>
      <w:b/>
      <w:bCs/>
      <w:kern w:val="32"/>
      <w:sz w:val="32"/>
      <w:szCs w:val="32"/>
    </w:rPr>
  </w:style>
  <w:style w:type="character" w:customStyle="1" w:styleId="Heading2Char">
    <w:name w:val="Heading 2 Char"/>
    <w:basedOn w:val="DefaultParagraphFont"/>
    <w:link w:val="Heading2"/>
    <w:uiPriority w:val="9"/>
    <w:rsid w:val="005713D6"/>
    <w:rPr>
      <w:rFonts w:ascii="Arial" w:hAnsi="Arial" w:cs="Arial"/>
      <w:b/>
      <w:bCs/>
      <w:i/>
      <w:iCs/>
      <w:sz w:val="28"/>
      <w:szCs w:val="28"/>
    </w:rPr>
  </w:style>
  <w:style w:type="character" w:styleId="FootnoteReference">
    <w:name w:val="footnote reference"/>
    <w:uiPriority w:val="99"/>
    <w:rsid w:val="00B305AA"/>
    <w:rPr>
      <w:rFonts w:ascii="Times New Roman" w:hAnsi="Times New Roman"/>
      <w:sz w:val="22"/>
      <w:vertAlign w:val="superscript"/>
    </w:rPr>
  </w:style>
  <w:style w:type="paragraph" w:customStyle="1" w:styleId="a-ARTTITLE">
    <w:name w:val="a-ART TITLE"/>
    <w:basedOn w:val="Normal"/>
    <w:rsid w:val="00483E13"/>
    <w:pPr>
      <w:spacing w:line="320" w:lineRule="exact"/>
      <w:jc w:val="center"/>
    </w:pPr>
    <w:rPr>
      <w:b/>
      <w:bCs/>
      <w:sz w:val="28"/>
      <w:szCs w:val="28"/>
    </w:rPr>
  </w:style>
  <w:style w:type="paragraph" w:customStyle="1" w:styleId="a-AUTHOR">
    <w:name w:val="a-AUTHOR"/>
    <w:basedOn w:val="Normal"/>
    <w:rsid w:val="00A9773E"/>
    <w:pPr>
      <w:spacing w:line="260" w:lineRule="exact"/>
      <w:jc w:val="center"/>
    </w:pPr>
    <w:rPr>
      <w:i/>
      <w:iCs/>
      <w:sz w:val="22"/>
    </w:rPr>
  </w:style>
  <w:style w:type="paragraph" w:customStyle="1" w:styleId="a-1stSubHd">
    <w:name w:val="a-1st Sub Hd"/>
    <w:basedOn w:val="Normal"/>
    <w:rsid w:val="00CA6054"/>
    <w:pPr>
      <w:keepNext/>
      <w:spacing w:before="260" w:after="260" w:line="260" w:lineRule="exact"/>
      <w:jc w:val="center"/>
    </w:pPr>
    <w:rPr>
      <w:smallCaps/>
      <w:sz w:val="22"/>
      <w:szCs w:val="22"/>
    </w:rPr>
  </w:style>
  <w:style w:type="paragraph" w:customStyle="1" w:styleId="b-bodytext">
    <w:name w:val="b-body text"/>
    <w:basedOn w:val="Normal"/>
    <w:rsid w:val="00D732E4"/>
    <w:pPr>
      <w:widowControl/>
      <w:tabs>
        <w:tab w:val="left" w:pos="440"/>
      </w:tabs>
      <w:spacing w:line="260" w:lineRule="exact"/>
      <w:ind w:firstLine="446"/>
      <w:jc w:val="both"/>
    </w:pPr>
    <w:rPr>
      <w:rFonts w:cs="BRADDON"/>
      <w:sz w:val="22"/>
      <w:szCs w:val="22"/>
    </w:rPr>
  </w:style>
  <w:style w:type="paragraph" w:customStyle="1" w:styleId="b-TextBlockQuote">
    <w:name w:val="b-Text Block Quote"/>
    <w:basedOn w:val="b-bodytext"/>
    <w:rsid w:val="00163AC0"/>
    <w:pPr>
      <w:spacing w:before="240" w:after="240" w:line="240" w:lineRule="exact"/>
      <w:ind w:left="360" w:right="360" w:firstLine="0"/>
    </w:pPr>
    <w:rPr>
      <w:iCs/>
      <w:sz w:val="20"/>
    </w:rPr>
  </w:style>
  <w:style w:type="paragraph" w:customStyle="1" w:styleId="a-2ndSubHd">
    <w:name w:val="a-2nd Sub Hd"/>
    <w:basedOn w:val="a-1stSubHd"/>
    <w:rsid w:val="00CA6054"/>
    <w:rPr>
      <w:i/>
      <w:smallCaps w:val="0"/>
    </w:rPr>
  </w:style>
  <w:style w:type="paragraph" w:customStyle="1" w:styleId="a-3rdSubHd">
    <w:name w:val="a-3rd Sub Hd"/>
    <w:basedOn w:val="a-2ndSubHd"/>
    <w:rsid w:val="003C52C8"/>
  </w:style>
  <w:style w:type="paragraph" w:customStyle="1" w:styleId="b-TextBlockQuote-FirstLineMulti">
    <w:name w:val="b-Text Block Quote-First Line Multi"/>
    <w:basedOn w:val="b-TextBlockQuote"/>
    <w:rsid w:val="00663563"/>
    <w:pPr>
      <w:spacing w:after="0"/>
    </w:pPr>
  </w:style>
  <w:style w:type="paragraph" w:customStyle="1" w:styleId="b-TextBlockQuote-LastLineMulti">
    <w:name w:val="b-Text Block Quote-Last Line Multi"/>
    <w:basedOn w:val="b-TextBlockQuote-FirstLineMulti"/>
    <w:rsid w:val="00663563"/>
    <w:pPr>
      <w:spacing w:before="0" w:after="240"/>
    </w:pPr>
  </w:style>
  <w:style w:type="paragraph" w:customStyle="1" w:styleId="c-FootnoteBlockQuote">
    <w:name w:val="c-Footnote Block Quote"/>
    <w:basedOn w:val="Normal"/>
    <w:rsid w:val="002A4833"/>
    <w:pPr>
      <w:tabs>
        <w:tab w:val="left" w:pos="0"/>
        <w:tab w:val="right" w:pos="600"/>
        <w:tab w:val="left" w:pos="780"/>
        <w:tab w:val="left" w:pos="1140"/>
        <w:tab w:val="left" w:pos="1500"/>
        <w:tab w:val="left" w:pos="1860"/>
        <w:tab w:val="left" w:pos="2220"/>
        <w:tab w:val="left" w:pos="2580"/>
        <w:tab w:val="left" w:pos="2940"/>
        <w:tab w:val="left" w:pos="3300"/>
        <w:tab w:val="left" w:pos="3660"/>
        <w:tab w:val="left" w:pos="4020"/>
        <w:tab w:val="left" w:pos="4380"/>
        <w:tab w:val="left" w:pos="4740"/>
        <w:tab w:val="left" w:pos="5100"/>
        <w:tab w:val="left" w:pos="5460"/>
        <w:tab w:val="left" w:pos="5820"/>
        <w:tab w:val="left" w:pos="6180"/>
        <w:tab w:val="left" w:pos="6540"/>
      </w:tabs>
      <w:spacing w:line="200" w:lineRule="exact"/>
      <w:ind w:left="360" w:right="360"/>
      <w:jc w:val="both"/>
    </w:pPr>
    <w:rPr>
      <w:rFonts w:cs="BRADDON"/>
      <w:sz w:val="16"/>
      <w:szCs w:val="16"/>
    </w:rPr>
  </w:style>
  <w:style w:type="paragraph" w:styleId="FootnoteText">
    <w:name w:val="footnote text"/>
    <w:basedOn w:val="Normal"/>
    <w:link w:val="FootnoteTextChar"/>
    <w:uiPriority w:val="99"/>
    <w:rsid w:val="00B305AA"/>
    <w:pPr>
      <w:widowControl/>
      <w:tabs>
        <w:tab w:val="right" w:pos="446"/>
        <w:tab w:val="left" w:pos="600"/>
      </w:tabs>
      <w:autoSpaceDE/>
      <w:autoSpaceDN/>
      <w:adjustRightInd/>
      <w:spacing w:line="200" w:lineRule="exact"/>
      <w:jc w:val="both"/>
    </w:pPr>
    <w:rPr>
      <w:sz w:val="16"/>
      <w:szCs w:val="20"/>
    </w:rPr>
  </w:style>
  <w:style w:type="character" w:customStyle="1" w:styleId="FootnoteTextChar">
    <w:name w:val="Footnote Text Char"/>
    <w:basedOn w:val="DefaultParagraphFont"/>
    <w:link w:val="FootnoteText"/>
    <w:uiPriority w:val="99"/>
    <w:rsid w:val="005713D6"/>
    <w:rPr>
      <w:sz w:val="16"/>
    </w:rPr>
  </w:style>
  <w:style w:type="paragraph" w:customStyle="1" w:styleId="Heading11">
    <w:name w:val="Heading 11"/>
    <w:basedOn w:val="Normal"/>
    <w:semiHidden/>
    <w:rsid w:val="00D732E4"/>
    <w:pPr>
      <w:widowControl/>
      <w:autoSpaceDE/>
      <w:autoSpaceDN/>
      <w:adjustRightInd/>
      <w:spacing w:after="80"/>
      <w:ind w:left="-13"/>
      <w:outlineLvl w:val="1"/>
    </w:pPr>
    <w:rPr>
      <w:rFonts w:ascii="Arial" w:hAnsi="Arial" w:cs="Arial"/>
      <w:b/>
      <w:bCs/>
      <w:color w:val="333333"/>
      <w:kern w:val="36"/>
      <w:sz w:val="35"/>
      <w:szCs w:val="35"/>
    </w:rPr>
  </w:style>
  <w:style w:type="paragraph" w:styleId="TOC1">
    <w:name w:val="toc 1"/>
    <w:basedOn w:val="Normal"/>
    <w:next w:val="Normal"/>
    <w:uiPriority w:val="39"/>
    <w:rsid w:val="00BB76A2"/>
    <w:pPr>
      <w:tabs>
        <w:tab w:val="left" w:pos="446"/>
        <w:tab w:val="right" w:leader="dot" w:pos="6720"/>
      </w:tabs>
    </w:pPr>
    <w:rPr>
      <w:smallCaps/>
      <w:sz w:val="22"/>
    </w:rPr>
  </w:style>
  <w:style w:type="paragraph" w:styleId="TOC2">
    <w:name w:val="toc 2"/>
    <w:basedOn w:val="Normal"/>
    <w:next w:val="Normal"/>
    <w:uiPriority w:val="39"/>
    <w:rsid w:val="00BB76A2"/>
    <w:pPr>
      <w:tabs>
        <w:tab w:val="left" w:pos="960"/>
        <w:tab w:val="right" w:leader="dot" w:pos="6725"/>
      </w:tabs>
      <w:ind w:left="446"/>
    </w:pPr>
    <w:rPr>
      <w:i/>
      <w:sz w:val="22"/>
    </w:rPr>
  </w:style>
  <w:style w:type="paragraph" w:styleId="TOC3">
    <w:name w:val="toc 3"/>
    <w:basedOn w:val="Normal"/>
    <w:next w:val="Normal"/>
    <w:uiPriority w:val="39"/>
    <w:rsid w:val="00BB76A2"/>
    <w:pPr>
      <w:tabs>
        <w:tab w:val="left" w:pos="1320"/>
        <w:tab w:val="right" w:leader="dot" w:pos="6725"/>
      </w:tabs>
      <w:ind w:left="965"/>
    </w:pPr>
    <w:rPr>
      <w:i/>
      <w:sz w:val="22"/>
    </w:rPr>
  </w:style>
  <w:style w:type="paragraph" w:customStyle="1" w:styleId="b-TextBlockQuote-MiddleLineMulti">
    <w:name w:val="b-Text Block Quote - Middle Line Multi"/>
    <w:basedOn w:val="b-TextBlockQuote-FirstLineMulti"/>
    <w:rsid w:val="00203DE6"/>
    <w:pPr>
      <w:spacing w:before="0"/>
    </w:pPr>
  </w:style>
  <w:style w:type="paragraph" w:customStyle="1" w:styleId="a-4thSubHead">
    <w:name w:val="a-4th Sub Head"/>
    <w:basedOn w:val="a-3rdSubHd"/>
    <w:next w:val="b-bodytext"/>
    <w:rsid w:val="003C52C8"/>
  </w:style>
  <w:style w:type="paragraph" w:customStyle="1" w:styleId="a-5thSubHead">
    <w:name w:val="a-5th Sub Head"/>
    <w:basedOn w:val="a-3rdSubHd"/>
    <w:next w:val="b-bodytext"/>
    <w:rsid w:val="003C52C8"/>
  </w:style>
  <w:style w:type="paragraph" w:customStyle="1" w:styleId="a-6thSubHead">
    <w:name w:val="a-6th Sub Head"/>
    <w:basedOn w:val="a-3rdSubHd"/>
    <w:next w:val="b-bodytext"/>
    <w:rsid w:val="003C52C8"/>
  </w:style>
  <w:style w:type="paragraph" w:customStyle="1" w:styleId="TOC4">
    <w:name w:val="TOC4"/>
    <w:basedOn w:val="TOC3"/>
    <w:rsid w:val="00685F30"/>
    <w:pPr>
      <w:ind w:left="1325"/>
    </w:pPr>
  </w:style>
  <w:style w:type="paragraph" w:styleId="Footer">
    <w:name w:val="footer"/>
    <w:basedOn w:val="Normal"/>
    <w:link w:val="FooterChar"/>
    <w:uiPriority w:val="99"/>
    <w:rsid w:val="003111FC"/>
    <w:pPr>
      <w:tabs>
        <w:tab w:val="center" w:pos="4320"/>
        <w:tab w:val="right" w:pos="8640"/>
      </w:tabs>
    </w:pPr>
  </w:style>
  <w:style w:type="character" w:customStyle="1" w:styleId="FooterChar">
    <w:name w:val="Footer Char"/>
    <w:basedOn w:val="DefaultParagraphFont"/>
    <w:link w:val="Footer"/>
    <w:uiPriority w:val="99"/>
    <w:rsid w:val="005713D6"/>
    <w:rPr>
      <w:sz w:val="24"/>
      <w:szCs w:val="24"/>
    </w:rPr>
  </w:style>
  <w:style w:type="paragraph" w:styleId="Header">
    <w:name w:val="header"/>
    <w:basedOn w:val="Normal"/>
    <w:link w:val="HeaderChar"/>
    <w:uiPriority w:val="99"/>
    <w:rsid w:val="003111FC"/>
    <w:pPr>
      <w:tabs>
        <w:tab w:val="center" w:pos="4320"/>
        <w:tab w:val="right" w:pos="8640"/>
      </w:tabs>
    </w:pPr>
  </w:style>
  <w:style w:type="character" w:customStyle="1" w:styleId="HeaderChar">
    <w:name w:val="Header Char"/>
    <w:basedOn w:val="DefaultParagraphFont"/>
    <w:link w:val="Header"/>
    <w:uiPriority w:val="99"/>
    <w:rsid w:val="005713D6"/>
    <w:rPr>
      <w:sz w:val="24"/>
      <w:szCs w:val="24"/>
    </w:rPr>
  </w:style>
  <w:style w:type="paragraph" w:styleId="TOC40">
    <w:name w:val="toc 4"/>
    <w:basedOn w:val="Normal"/>
    <w:next w:val="Normal"/>
    <w:autoRedefine/>
    <w:uiPriority w:val="39"/>
    <w:rsid w:val="00BB76A2"/>
    <w:pPr>
      <w:tabs>
        <w:tab w:val="left" w:pos="1350"/>
        <w:tab w:val="right" w:pos="6710"/>
      </w:tabs>
      <w:ind w:left="720"/>
    </w:pPr>
  </w:style>
  <w:style w:type="paragraph" w:styleId="TOC5">
    <w:name w:val="toc 5"/>
    <w:basedOn w:val="Normal"/>
    <w:next w:val="Normal"/>
    <w:autoRedefine/>
    <w:uiPriority w:val="39"/>
    <w:rsid w:val="00BB76A2"/>
    <w:pPr>
      <w:tabs>
        <w:tab w:val="left" w:pos="1620"/>
        <w:tab w:val="right" w:pos="6710"/>
      </w:tabs>
      <w:ind w:left="960"/>
    </w:pPr>
  </w:style>
  <w:style w:type="paragraph" w:styleId="TOC6">
    <w:name w:val="toc 6"/>
    <w:basedOn w:val="Normal"/>
    <w:next w:val="Normal"/>
    <w:autoRedefine/>
    <w:semiHidden/>
    <w:rsid w:val="00BB76A2"/>
    <w:pPr>
      <w:tabs>
        <w:tab w:val="left" w:pos="1980"/>
        <w:tab w:val="right" w:pos="6710"/>
      </w:tabs>
      <w:ind w:left="1200"/>
    </w:pPr>
  </w:style>
  <w:style w:type="paragraph" w:customStyle="1" w:styleId="TOC50">
    <w:name w:val="TOC5"/>
    <w:basedOn w:val="TOC4"/>
    <w:rsid w:val="00685F30"/>
    <w:pPr>
      <w:tabs>
        <w:tab w:val="clear" w:pos="1320"/>
        <w:tab w:val="left" w:pos="1627"/>
      </w:tabs>
      <w:ind w:left="1714"/>
    </w:pPr>
    <w:rPr>
      <w:noProof/>
    </w:rPr>
  </w:style>
  <w:style w:type="paragraph" w:customStyle="1" w:styleId="toc60">
    <w:name w:val="toc6"/>
    <w:basedOn w:val="TOC5"/>
    <w:rsid w:val="00685F30"/>
    <w:pPr>
      <w:tabs>
        <w:tab w:val="clear" w:pos="1620"/>
        <w:tab w:val="clear" w:pos="6710"/>
        <w:tab w:val="left" w:pos="1987"/>
        <w:tab w:val="right" w:leader="dot" w:pos="6725"/>
      </w:tabs>
      <w:ind w:left="1987"/>
    </w:pPr>
    <w:rPr>
      <w:i/>
      <w:noProof/>
      <w:sz w:val="22"/>
    </w:rPr>
  </w:style>
  <w:style w:type="paragraph" w:styleId="BalloonText">
    <w:name w:val="Balloon Text"/>
    <w:basedOn w:val="Normal"/>
    <w:link w:val="BalloonTextChar"/>
    <w:uiPriority w:val="99"/>
    <w:unhideWhenUsed/>
    <w:rsid w:val="005713D6"/>
    <w:pPr>
      <w:widowControl/>
      <w:autoSpaceDE/>
      <w:autoSpaceDN/>
      <w:adjustRightInd/>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rsid w:val="005713D6"/>
    <w:rPr>
      <w:rFonts w:ascii="Segoe UI" w:eastAsiaTheme="minorEastAsia" w:hAnsi="Segoe UI" w:cs="Segoe UI"/>
      <w:sz w:val="18"/>
      <w:szCs w:val="18"/>
    </w:rPr>
  </w:style>
  <w:style w:type="paragraph" w:styleId="BodyText">
    <w:name w:val="Body Text"/>
    <w:basedOn w:val="Normal"/>
    <w:link w:val="BodyTextChar"/>
    <w:uiPriority w:val="99"/>
    <w:unhideWhenUsed/>
    <w:rsid w:val="005713D6"/>
    <w:pPr>
      <w:spacing w:line="720" w:lineRule="auto"/>
      <w:jc w:val="center"/>
    </w:pPr>
    <w:rPr>
      <w:rFonts w:ascii="Arial" w:eastAsiaTheme="minorEastAsia" w:hAnsi="Arial" w:cs="Arial"/>
      <w:bCs/>
      <w:smallCaps/>
      <w:sz w:val="26"/>
      <w:szCs w:val="26"/>
    </w:rPr>
  </w:style>
  <w:style w:type="character" w:customStyle="1" w:styleId="BodyTextChar">
    <w:name w:val="Body Text Char"/>
    <w:basedOn w:val="DefaultParagraphFont"/>
    <w:link w:val="BodyText"/>
    <w:uiPriority w:val="99"/>
    <w:rsid w:val="005713D6"/>
    <w:rPr>
      <w:rFonts w:ascii="Arial" w:eastAsiaTheme="minorEastAsia" w:hAnsi="Arial" w:cs="Arial"/>
      <w:bCs/>
      <w:smallCaps/>
      <w:sz w:val="26"/>
      <w:szCs w:val="26"/>
    </w:rPr>
  </w:style>
  <w:style w:type="paragraph" w:styleId="BodyTextIndent">
    <w:name w:val="Body Text Indent"/>
    <w:basedOn w:val="Normal"/>
    <w:link w:val="BodyTextIndentChar"/>
    <w:uiPriority w:val="99"/>
    <w:unhideWhenUsed/>
    <w:rsid w:val="005713D6"/>
    <w:pPr>
      <w:spacing w:line="720" w:lineRule="auto"/>
      <w:ind w:left="720" w:hanging="720"/>
    </w:pPr>
    <w:rPr>
      <w:rFonts w:ascii="Arial" w:eastAsiaTheme="minorEastAsia" w:hAnsi="Arial" w:cs="Arial"/>
      <w:sz w:val="26"/>
      <w:szCs w:val="26"/>
    </w:rPr>
  </w:style>
  <w:style w:type="character" w:customStyle="1" w:styleId="BodyTextIndentChar">
    <w:name w:val="Body Text Indent Char"/>
    <w:basedOn w:val="DefaultParagraphFont"/>
    <w:link w:val="BodyTextIndent"/>
    <w:uiPriority w:val="99"/>
    <w:rsid w:val="005713D6"/>
    <w:rPr>
      <w:rFonts w:ascii="Arial" w:eastAsiaTheme="minorEastAsia" w:hAnsi="Arial" w:cs="Arial"/>
      <w:sz w:val="26"/>
      <w:szCs w:val="26"/>
    </w:rPr>
  </w:style>
  <w:style w:type="paragraph" w:styleId="ListParagraph">
    <w:name w:val="List Paragraph"/>
    <w:basedOn w:val="Normal"/>
    <w:uiPriority w:val="34"/>
    <w:qFormat/>
    <w:rsid w:val="005713D6"/>
    <w:pPr>
      <w:widowControl/>
      <w:autoSpaceDE/>
      <w:autoSpaceDN/>
      <w:adjustRightInd/>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5713D6"/>
    <w:rPr>
      <w:color w:val="0563C1" w:themeColor="hyperlink"/>
      <w:u w:val="single"/>
    </w:rPr>
  </w:style>
  <w:style w:type="paragraph" w:styleId="BodyTextIndent2">
    <w:name w:val="Body Text Indent 2"/>
    <w:basedOn w:val="Normal"/>
    <w:link w:val="BodyTextIndent2Char"/>
    <w:uiPriority w:val="99"/>
    <w:unhideWhenUsed/>
    <w:rsid w:val="005713D6"/>
    <w:pPr>
      <w:spacing w:line="720" w:lineRule="auto"/>
      <w:ind w:left="720"/>
    </w:pPr>
    <w:rPr>
      <w:rFonts w:ascii="Arial" w:eastAsiaTheme="minorEastAsia" w:hAnsi="Arial" w:cs="Arial"/>
      <w:sz w:val="26"/>
      <w:szCs w:val="26"/>
    </w:rPr>
  </w:style>
  <w:style w:type="character" w:customStyle="1" w:styleId="BodyTextIndent2Char">
    <w:name w:val="Body Text Indent 2 Char"/>
    <w:basedOn w:val="DefaultParagraphFont"/>
    <w:link w:val="BodyTextIndent2"/>
    <w:uiPriority w:val="99"/>
    <w:rsid w:val="005713D6"/>
    <w:rPr>
      <w:rFonts w:ascii="Arial" w:eastAsiaTheme="minorEastAsia" w:hAnsi="Arial" w:cs="Arial"/>
      <w:sz w:val="26"/>
      <w:szCs w:val="26"/>
    </w:rPr>
  </w:style>
  <w:style w:type="paragraph" w:styleId="EndnoteText">
    <w:name w:val="endnote text"/>
    <w:basedOn w:val="Normal"/>
    <w:link w:val="EndnoteTextChar"/>
    <w:uiPriority w:val="99"/>
    <w:unhideWhenUsed/>
    <w:rsid w:val="005713D6"/>
    <w:pPr>
      <w:widowControl/>
      <w:autoSpaceDE/>
      <w:autoSpaceDN/>
      <w:adjustRightInd/>
    </w:pPr>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rsid w:val="005713D6"/>
    <w:rPr>
      <w:rFonts w:asciiTheme="minorHAnsi" w:eastAsiaTheme="minorEastAsia" w:hAnsiTheme="minorHAnsi" w:cstheme="minorBidi"/>
    </w:rPr>
  </w:style>
  <w:style w:type="character" w:styleId="EndnoteReference">
    <w:name w:val="endnote reference"/>
    <w:basedOn w:val="DefaultParagraphFont"/>
    <w:uiPriority w:val="99"/>
    <w:unhideWhenUsed/>
    <w:rsid w:val="005713D6"/>
    <w:rPr>
      <w:vertAlign w:val="superscript"/>
    </w:rPr>
  </w:style>
  <w:style w:type="character" w:customStyle="1" w:styleId="Heading3Char">
    <w:name w:val="Heading 3 Char"/>
    <w:basedOn w:val="DefaultParagraphFont"/>
    <w:link w:val="Heading3"/>
    <w:uiPriority w:val="9"/>
    <w:rsid w:val="003A0665"/>
    <w:rPr>
      <w:rFonts w:ascii="Arial" w:hAnsi="Arial" w:cs="Arial"/>
      <w:b/>
      <w:bCs/>
      <w:sz w:val="26"/>
      <w:szCs w:val="26"/>
    </w:rPr>
  </w:style>
  <w:style w:type="character" w:customStyle="1" w:styleId="Heading4Char">
    <w:name w:val="Heading 4 Char"/>
    <w:basedOn w:val="DefaultParagraphFont"/>
    <w:link w:val="Heading4"/>
    <w:uiPriority w:val="9"/>
    <w:rsid w:val="003A0665"/>
    <w:rPr>
      <w:b/>
      <w:bCs/>
      <w:sz w:val="28"/>
      <w:szCs w:val="28"/>
    </w:rPr>
  </w:style>
  <w:style w:type="paragraph" w:customStyle="1" w:styleId="Heading45">
    <w:name w:val="Heading 4.5"/>
    <w:basedOn w:val="Normal"/>
    <w:qFormat/>
    <w:rsid w:val="003A0665"/>
    <w:pPr>
      <w:widowControl/>
      <w:numPr>
        <w:numId w:val="2"/>
      </w:numPr>
      <w:autoSpaceDE/>
      <w:autoSpaceDN/>
      <w:adjustRightInd/>
      <w:spacing w:after="120"/>
      <w:jc w:val="both"/>
    </w:pPr>
    <w:rPr>
      <w:rFonts w:eastAsiaTheme="minorHAnsi"/>
      <w:i/>
      <w:sz w:val="22"/>
      <w:szCs w:val="22"/>
    </w:rPr>
  </w:style>
  <w:style w:type="character" w:customStyle="1" w:styleId="Heading5Char">
    <w:name w:val="Heading 5 Char"/>
    <w:basedOn w:val="DefaultParagraphFont"/>
    <w:link w:val="Heading5"/>
    <w:uiPriority w:val="9"/>
    <w:rsid w:val="003A0665"/>
    <w:rPr>
      <w:b/>
      <w:bCs/>
      <w:i/>
      <w:iCs/>
      <w:sz w:val="26"/>
      <w:szCs w:val="26"/>
    </w:rPr>
  </w:style>
  <w:style w:type="character" w:customStyle="1" w:styleId="Heading6Char">
    <w:name w:val="Heading 6 Char"/>
    <w:basedOn w:val="DefaultParagraphFont"/>
    <w:link w:val="Heading6"/>
    <w:uiPriority w:val="9"/>
    <w:rsid w:val="003A0665"/>
    <w:rPr>
      <w:b/>
      <w:bCs/>
      <w:sz w:val="22"/>
      <w:szCs w:val="22"/>
    </w:rPr>
  </w:style>
  <w:style w:type="character" w:customStyle="1" w:styleId="Heading7Char">
    <w:name w:val="Heading 7 Char"/>
    <w:basedOn w:val="DefaultParagraphFont"/>
    <w:link w:val="Heading7"/>
    <w:uiPriority w:val="9"/>
    <w:rsid w:val="003A0665"/>
    <w:rPr>
      <w:sz w:val="24"/>
      <w:szCs w:val="24"/>
    </w:rPr>
  </w:style>
  <w:style w:type="character" w:customStyle="1" w:styleId="Heading8Char">
    <w:name w:val="Heading 8 Char"/>
    <w:basedOn w:val="DefaultParagraphFont"/>
    <w:link w:val="Heading8"/>
    <w:uiPriority w:val="9"/>
    <w:rsid w:val="003A0665"/>
    <w:rPr>
      <w:i/>
      <w:iCs/>
      <w:sz w:val="24"/>
      <w:szCs w:val="24"/>
    </w:rPr>
  </w:style>
  <w:style w:type="character" w:customStyle="1" w:styleId="Heading9Char">
    <w:name w:val="Heading 9 Char"/>
    <w:basedOn w:val="DefaultParagraphFont"/>
    <w:link w:val="Heading9"/>
    <w:uiPriority w:val="9"/>
    <w:rsid w:val="003A0665"/>
    <w:rPr>
      <w:rFonts w:ascii="Arial" w:hAnsi="Arial" w:cs="Arial"/>
      <w:sz w:val="22"/>
      <w:szCs w:val="22"/>
    </w:rPr>
  </w:style>
  <w:style w:type="character" w:customStyle="1" w:styleId="UnresolvedMention1">
    <w:name w:val="Unresolved Mention1"/>
    <w:basedOn w:val="DefaultParagraphFont"/>
    <w:uiPriority w:val="99"/>
    <w:semiHidden/>
    <w:unhideWhenUsed/>
    <w:rsid w:val="003A0665"/>
    <w:rPr>
      <w:color w:val="605E5C"/>
      <w:shd w:val="clear" w:color="auto" w:fill="E1DFDD"/>
    </w:rPr>
  </w:style>
  <w:style w:type="table" w:styleId="TableGrid">
    <w:name w:val="Table Grid"/>
    <w:basedOn w:val="TableNormal"/>
    <w:uiPriority w:val="39"/>
    <w:rsid w:val="003A0665"/>
    <w:pPr>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A0665"/>
    <w:rPr>
      <w:color w:val="605E5C"/>
      <w:shd w:val="clear" w:color="auto" w:fill="E1DFDD"/>
    </w:rPr>
  </w:style>
  <w:style w:type="character" w:styleId="UnresolvedMention">
    <w:name w:val="Unresolved Mention"/>
    <w:basedOn w:val="DefaultParagraphFont"/>
    <w:uiPriority w:val="99"/>
    <w:semiHidden/>
    <w:unhideWhenUsed/>
    <w:rsid w:val="00960C66"/>
    <w:rPr>
      <w:color w:val="605E5C"/>
      <w:shd w:val="clear" w:color="auto" w:fill="E1DFDD"/>
    </w:rPr>
  </w:style>
  <w:style w:type="paragraph" w:styleId="Revision">
    <w:name w:val="Revision"/>
    <w:hidden/>
    <w:uiPriority w:val="99"/>
    <w:semiHidden/>
    <w:rsid w:val="00DF36B1"/>
    <w:rPr>
      <w:sz w:val="24"/>
      <w:szCs w:val="24"/>
    </w:rPr>
  </w:style>
  <w:style w:type="character" w:styleId="FollowedHyperlink">
    <w:name w:val="FollowedHyperlink"/>
    <w:basedOn w:val="DefaultParagraphFont"/>
    <w:rsid w:val="003164A0"/>
    <w:rPr>
      <w:color w:val="954F72" w:themeColor="followedHyperlink"/>
      <w:u w:val="single"/>
    </w:rPr>
  </w:style>
  <w:style w:type="character" w:styleId="CommentReference">
    <w:name w:val="annotation reference"/>
    <w:basedOn w:val="DefaultParagraphFont"/>
    <w:rsid w:val="00D46CAB"/>
    <w:rPr>
      <w:sz w:val="16"/>
      <w:szCs w:val="16"/>
    </w:rPr>
  </w:style>
  <w:style w:type="paragraph" w:styleId="CommentText">
    <w:name w:val="annotation text"/>
    <w:basedOn w:val="Normal"/>
    <w:link w:val="CommentTextChar"/>
    <w:rsid w:val="00D46CAB"/>
    <w:rPr>
      <w:sz w:val="20"/>
      <w:szCs w:val="20"/>
    </w:rPr>
  </w:style>
  <w:style w:type="character" w:customStyle="1" w:styleId="CommentTextChar">
    <w:name w:val="Comment Text Char"/>
    <w:basedOn w:val="DefaultParagraphFont"/>
    <w:link w:val="CommentText"/>
    <w:rsid w:val="00D46CAB"/>
  </w:style>
  <w:style w:type="paragraph" w:styleId="CommentSubject">
    <w:name w:val="annotation subject"/>
    <w:basedOn w:val="CommentText"/>
    <w:next w:val="CommentText"/>
    <w:link w:val="CommentSubjectChar"/>
    <w:semiHidden/>
    <w:unhideWhenUsed/>
    <w:rsid w:val="00D46CAB"/>
    <w:rPr>
      <w:b/>
      <w:bCs/>
    </w:rPr>
  </w:style>
  <w:style w:type="character" w:customStyle="1" w:styleId="CommentSubjectChar">
    <w:name w:val="Comment Subject Char"/>
    <w:basedOn w:val="CommentTextChar"/>
    <w:link w:val="CommentSubject"/>
    <w:semiHidden/>
    <w:rsid w:val="00D46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96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8A17082F6E054EA85E290F920A353B" ma:contentTypeVersion="12" ma:contentTypeDescription="Create a new document." ma:contentTypeScope="" ma:versionID="3727786250efc6d505155fe4285f4509">
  <xsd:schema xmlns:xsd="http://www.w3.org/2001/XMLSchema" xmlns:xs="http://www.w3.org/2001/XMLSchema" xmlns:p="http://schemas.microsoft.com/office/2006/metadata/properties" xmlns:ns2="8b70cae2-203f-4c6b-9aa6-68ecdea1f257" xmlns:ns3="89467c53-6eac-42c7-a492-64dd7ffc1a84" targetNamespace="http://schemas.microsoft.com/office/2006/metadata/properties" ma:root="true" ma:fieldsID="64babf25090a87c504f9c85a7aa48297" ns2:_="" ns3:_="">
    <xsd:import namespace="8b70cae2-203f-4c6b-9aa6-68ecdea1f257"/>
    <xsd:import namespace="89467c53-6eac-42c7-a492-64dd7ffc1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0cae2-203f-4c6b-9aa6-68ecdea1f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67c53-6eac-42c7-a492-64dd7ffc1a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A28D8-AC12-4B12-9EA7-7C835D7400D5}">
  <ds:schemaRefs>
    <ds:schemaRef ds:uri="http://schemas.microsoft.com/sharepoint/v3/contenttype/forms"/>
  </ds:schemaRefs>
</ds:datastoreItem>
</file>

<file path=customXml/itemProps2.xml><?xml version="1.0" encoding="utf-8"?>
<ds:datastoreItem xmlns:ds="http://schemas.openxmlformats.org/officeDocument/2006/customXml" ds:itemID="{1BB4A376-F358-4E0E-A51E-D6AA4E9EAC2D}">
  <ds:schemaRefs>
    <ds:schemaRef ds:uri="http://schemas.openxmlformats.org/officeDocument/2006/bibliography"/>
  </ds:schemaRefs>
</ds:datastoreItem>
</file>

<file path=customXml/itemProps3.xml><?xml version="1.0" encoding="utf-8"?>
<ds:datastoreItem xmlns:ds="http://schemas.openxmlformats.org/officeDocument/2006/customXml" ds:itemID="{848E3732-1534-4B51-A6AB-89E702FE61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227E22-2FE5-41AF-93E9-07FCD8E88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0cae2-203f-4c6b-9aa6-68ecdea1f257"/>
    <ds:schemaRef ds:uri="89467c53-6eac-42c7-a492-64dd7ffc1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14174</Words>
  <Characters>80796</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Texas Tech Law Review Shell Document</vt:lpstr>
    </vt:vector>
  </TitlesOfParts>
  <Company>TTU Law</Company>
  <LinksUpToDate>false</LinksUpToDate>
  <CharactersWithSpaces>94781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Tech Law Review Shell Document</dc:title>
  <dc:subject/>
  <dc:creator>Western Newspaper Publishing - David Shaw</dc:creator>
  <cp:keywords/>
  <cp:lastModifiedBy>Melissa Dyches</cp:lastModifiedBy>
  <cp:revision>2</cp:revision>
  <cp:lastPrinted>2020-02-28T17:18:00Z</cp:lastPrinted>
  <dcterms:created xsi:type="dcterms:W3CDTF">2021-11-17T15:39:00Z</dcterms:created>
  <dcterms:modified xsi:type="dcterms:W3CDTF">2021-11-17T15:39:00Z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0x010100A98A17082F6E054EA85E290F920A353B</vt:lpwstr>
  </property>
</Properties>
</file>