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511" w:rsidRDefault="003A6511" w:rsidP="003A6511">
      <w:pPr>
        <w:tabs>
          <w:tab w:val="left" w:pos="576"/>
          <w:tab w:val="left" w:pos="1152"/>
          <w:tab w:val="left" w:pos="2016"/>
          <w:tab w:val="left" w:pos="2592"/>
          <w:tab w:val="left" w:pos="3312"/>
          <w:tab w:val="left" w:pos="4032"/>
          <w:tab w:val="left" w:pos="5184"/>
          <w:tab w:val="left" w:pos="6048"/>
        </w:tabs>
        <w:jc w:val="center"/>
        <w:rPr>
          <w:b/>
          <w:sz w:val="36"/>
          <w:szCs w:val="36"/>
        </w:rPr>
      </w:pPr>
    </w:p>
    <w:p w:rsidR="00F63CF3" w:rsidRDefault="00F63CF3" w:rsidP="003A6511">
      <w:pPr>
        <w:tabs>
          <w:tab w:val="left" w:pos="576"/>
          <w:tab w:val="left" w:pos="1152"/>
          <w:tab w:val="left" w:pos="2016"/>
          <w:tab w:val="left" w:pos="2592"/>
          <w:tab w:val="left" w:pos="3312"/>
          <w:tab w:val="left" w:pos="4032"/>
          <w:tab w:val="left" w:pos="5184"/>
          <w:tab w:val="left" w:pos="6048"/>
        </w:tabs>
        <w:jc w:val="center"/>
        <w:rPr>
          <w:b/>
          <w:sz w:val="36"/>
          <w:szCs w:val="36"/>
        </w:rPr>
      </w:pPr>
    </w:p>
    <w:p w:rsidR="00F63CF3" w:rsidRDefault="00F63CF3" w:rsidP="003A6511">
      <w:pPr>
        <w:tabs>
          <w:tab w:val="left" w:pos="576"/>
          <w:tab w:val="left" w:pos="1152"/>
          <w:tab w:val="left" w:pos="2016"/>
          <w:tab w:val="left" w:pos="2592"/>
          <w:tab w:val="left" w:pos="3312"/>
          <w:tab w:val="left" w:pos="4032"/>
          <w:tab w:val="left" w:pos="5184"/>
          <w:tab w:val="left" w:pos="6048"/>
        </w:tabs>
        <w:jc w:val="center"/>
        <w:rPr>
          <w:b/>
          <w:sz w:val="36"/>
          <w:szCs w:val="36"/>
        </w:rPr>
      </w:pPr>
    </w:p>
    <w:p w:rsidR="003A6511" w:rsidRDefault="003A6511" w:rsidP="003A6511">
      <w:pPr>
        <w:tabs>
          <w:tab w:val="left" w:pos="576"/>
          <w:tab w:val="left" w:pos="1152"/>
          <w:tab w:val="left" w:pos="2016"/>
          <w:tab w:val="left" w:pos="2592"/>
          <w:tab w:val="left" w:pos="3312"/>
          <w:tab w:val="left" w:pos="4032"/>
          <w:tab w:val="left" w:pos="5184"/>
          <w:tab w:val="left" w:pos="6048"/>
        </w:tabs>
        <w:jc w:val="center"/>
        <w:rPr>
          <w:b/>
          <w:sz w:val="40"/>
          <w:szCs w:val="40"/>
        </w:rPr>
      </w:pPr>
    </w:p>
    <w:p w:rsidR="003A6511" w:rsidRDefault="003A6511" w:rsidP="003A6511">
      <w:pPr>
        <w:tabs>
          <w:tab w:val="left" w:pos="576"/>
          <w:tab w:val="left" w:pos="1152"/>
          <w:tab w:val="left" w:pos="2016"/>
          <w:tab w:val="left" w:pos="2592"/>
          <w:tab w:val="left" w:pos="3312"/>
          <w:tab w:val="left" w:pos="4032"/>
          <w:tab w:val="left" w:pos="5184"/>
          <w:tab w:val="left" w:pos="6048"/>
        </w:tabs>
        <w:jc w:val="center"/>
        <w:rPr>
          <w:b/>
          <w:sz w:val="40"/>
          <w:szCs w:val="40"/>
        </w:rPr>
      </w:pPr>
    </w:p>
    <w:p w:rsidR="003A6511" w:rsidRPr="003A6511" w:rsidRDefault="003A6511" w:rsidP="003A6511">
      <w:pPr>
        <w:tabs>
          <w:tab w:val="left" w:pos="576"/>
          <w:tab w:val="left" w:pos="1152"/>
          <w:tab w:val="left" w:pos="2016"/>
          <w:tab w:val="left" w:pos="2592"/>
          <w:tab w:val="left" w:pos="3312"/>
          <w:tab w:val="left" w:pos="4032"/>
          <w:tab w:val="left" w:pos="5184"/>
          <w:tab w:val="left" w:pos="6048"/>
        </w:tabs>
        <w:jc w:val="center"/>
        <w:rPr>
          <w:b/>
          <w:sz w:val="40"/>
          <w:szCs w:val="40"/>
        </w:rPr>
      </w:pPr>
      <w:r w:rsidRPr="003A6511">
        <w:rPr>
          <w:b/>
          <w:sz w:val="40"/>
          <w:szCs w:val="40"/>
        </w:rPr>
        <w:t>Recent Developments Affecting Estate Planning</w:t>
      </w:r>
    </w:p>
    <w:p w:rsidR="003A6511" w:rsidRPr="003F082B" w:rsidRDefault="003A6511" w:rsidP="003A6511">
      <w:pPr>
        <w:tabs>
          <w:tab w:val="left" w:pos="540"/>
          <w:tab w:val="left" w:pos="630"/>
          <w:tab w:val="left" w:pos="1080"/>
          <w:tab w:val="left" w:pos="1620"/>
          <w:tab w:val="left" w:pos="2160"/>
          <w:tab w:val="left" w:pos="2520"/>
          <w:tab w:val="left" w:pos="2700"/>
          <w:tab w:val="left" w:pos="5616"/>
        </w:tabs>
        <w:spacing w:line="240" w:lineRule="atLeast"/>
        <w:ind w:left="540" w:hanging="540"/>
        <w:jc w:val="center"/>
        <w:rPr>
          <w:b/>
          <w:sz w:val="22"/>
          <w:szCs w:val="22"/>
        </w:rPr>
      </w:pPr>
    </w:p>
    <w:p w:rsidR="003A6511" w:rsidRPr="003F082B" w:rsidRDefault="003A6511" w:rsidP="003A6511">
      <w:pPr>
        <w:tabs>
          <w:tab w:val="left" w:pos="450"/>
          <w:tab w:val="left" w:pos="900"/>
          <w:tab w:val="left" w:pos="1296"/>
          <w:tab w:val="left" w:pos="1350"/>
          <w:tab w:val="left" w:pos="1800"/>
          <w:tab w:val="left" w:pos="5616"/>
        </w:tabs>
        <w:spacing w:line="240" w:lineRule="atLeast"/>
        <w:jc w:val="center"/>
        <w:rPr>
          <w:b/>
          <w:sz w:val="28"/>
          <w:szCs w:val="28"/>
        </w:rPr>
      </w:pPr>
      <w:r w:rsidRPr="003F082B">
        <w:rPr>
          <w:b/>
          <w:sz w:val="28"/>
          <w:szCs w:val="28"/>
        </w:rPr>
        <w:t>Stanley M. Johanson</w:t>
      </w:r>
    </w:p>
    <w:p w:rsidR="003A6511" w:rsidRDefault="003A6511" w:rsidP="003A6511">
      <w:pPr>
        <w:tabs>
          <w:tab w:val="left" w:pos="450"/>
          <w:tab w:val="left" w:pos="900"/>
          <w:tab w:val="left" w:pos="1296"/>
          <w:tab w:val="left" w:pos="1350"/>
          <w:tab w:val="left" w:pos="1800"/>
          <w:tab w:val="left" w:pos="5616"/>
        </w:tabs>
        <w:spacing w:line="240" w:lineRule="atLeast"/>
        <w:jc w:val="center"/>
        <w:rPr>
          <w:sz w:val="22"/>
          <w:szCs w:val="22"/>
        </w:rPr>
      </w:pPr>
    </w:p>
    <w:p w:rsidR="003A6511" w:rsidRPr="0015117C" w:rsidRDefault="003A6511" w:rsidP="003A6511">
      <w:pPr>
        <w:tabs>
          <w:tab w:val="left" w:pos="450"/>
          <w:tab w:val="left" w:pos="900"/>
          <w:tab w:val="left" w:pos="1296"/>
          <w:tab w:val="left" w:pos="1350"/>
          <w:tab w:val="left" w:pos="1800"/>
          <w:tab w:val="left" w:pos="5616"/>
        </w:tabs>
        <w:spacing w:line="240" w:lineRule="atLeast"/>
        <w:jc w:val="center"/>
        <w:rPr>
          <w:sz w:val="24"/>
          <w:szCs w:val="24"/>
        </w:rPr>
      </w:pPr>
      <w:r w:rsidRPr="0015117C">
        <w:rPr>
          <w:sz w:val="24"/>
          <w:szCs w:val="24"/>
        </w:rPr>
        <w:t xml:space="preserve">University Distinguished Teaching Professor </w:t>
      </w:r>
      <w:r w:rsidRPr="0015117C">
        <w:rPr>
          <w:sz w:val="22"/>
          <w:szCs w:val="22"/>
        </w:rPr>
        <w:t>and</w:t>
      </w:r>
    </w:p>
    <w:p w:rsidR="003A6511" w:rsidRPr="0015117C" w:rsidRDefault="003A6511" w:rsidP="003A6511">
      <w:pPr>
        <w:tabs>
          <w:tab w:val="left" w:pos="450"/>
          <w:tab w:val="left" w:pos="900"/>
          <w:tab w:val="left" w:pos="1296"/>
          <w:tab w:val="left" w:pos="1350"/>
          <w:tab w:val="left" w:pos="1800"/>
          <w:tab w:val="left" w:pos="5616"/>
        </w:tabs>
        <w:spacing w:line="240" w:lineRule="atLeast"/>
        <w:jc w:val="center"/>
        <w:rPr>
          <w:sz w:val="24"/>
          <w:szCs w:val="24"/>
        </w:rPr>
      </w:pPr>
      <w:r w:rsidRPr="0015117C">
        <w:rPr>
          <w:sz w:val="24"/>
          <w:szCs w:val="24"/>
        </w:rPr>
        <w:t>James A. Elkins Centennial Chair in Law</w:t>
      </w:r>
    </w:p>
    <w:p w:rsidR="003A6511" w:rsidRPr="0015117C" w:rsidRDefault="003A6511" w:rsidP="003A6511">
      <w:pPr>
        <w:tabs>
          <w:tab w:val="left" w:pos="450"/>
          <w:tab w:val="left" w:pos="900"/>
          <w:tab w:val="left" w:pos="1296"/>
          <w:tab w:val="left" w:pos="1350"/>
          <w:tab w:val="left" w:pos="1800"/>
          <w:tab w:val="left" w:pos="5616"/>
        </w:tabs>
        <w:spacing w:line="240" w:lineRule="atLeast"/>
        <w:jc w:val="center"/>
        <w:rPr>
          <w:sz w:val="24"/>
          <w:szCs w:val="24"/>
        </w:rPr>
      </w:pPr>
      <w:r w:rsidRPr="0015117C">
        <w:rPr>
          <w:sz w:val="24"/>
          <w:szCs w:val="24"/>
        </w:rPr>
        <w:t>The University of Texas School of Law</w:t>
      </w:r>
    </w:p>
    <w:p w:rsidR="003A6511" w:rsidRPr="0015117C" w:rsidRDefault="003A6511" w:rsidP="003A6511">
      <w:pPr>
        <w:tabs>
          <w:tab w:val="left" w:pos="450"/>
          <w:tab w:val="left" w:pos="900"/>
          <w:tab w:val="left" w:pos="1296"/>
          <w:tab w:val="left" w:pos="1350"/>
          <w:tab w:val="left" w:pos="1800"/>
          <w:tab w:val="left" w:pos="5616"/>
        </w:tabs>
        <w:spacing w:line="240" w:lineRule="atLeast"/>
        <w:jc w:val="center"/>
        <w:rPr>
          <w:sz w:val="24"/>
          <w:szCs w:val="24"/>
        </w:rPr>
      </w:pPr>
      <w:r w:rsidRPr="0015117C">
        <w:rPr>
          <w:sz w:val="24"/>
          <w:szCs w:val="24"/>
        </w:rPr>
        <w:t>Austin, Texas</w:t>
      </w:r>
    </w:p>
    <w:p w:rsidR="003A6511" w:rsidRPr="003F082B" w:rsidRDefault="003A6511" w:rsidP="003A6511">
      <w:pPr>
        <w:tabs>
          <w:tab w:val="left" w:pos="450"/>
          <w:tab w:val="left" w:pos="900"/>
          <w:tab w:val="left" w:pos="1296"/>
          <w:tab w:val="left" w:pos="1350"/>
          <w:tab w:val="left" w:pos="1800"/>
          <w:tab w:val="left" w:pos="5616"/>
        </w:tabs>
        <w:spacing w:line="240" w:lineRule="atLeast"/>
        <w:jc w:val="center"/>
        <w:rPr>
          <w:sz w:val="22"/>
          <w:szCs w:val="22"/>
        </w:rPr>
      </w:pPr>
    </w:p>
    <w:p w:rsidR="003A6511" w:rsidRPr="003F082B" w:rsidRDefault="003A6511" w:rsidP="003A6511">
      <w:pPr>
        <w:tabs>
          <w:tab w:val="left" w:pos="630"/>
          <w:tab w:val="left" w:pos="1260"/>
          <w:tab w:val="left" w:pos="1890"/>
          <w:tab w:val="left" w:pos="2520"/>
          <w:tab w:val="left" w:pos="2700"/>
          <w:tab w:val="left" w:pos="5616"/>
        </w:tabs>
        <w:ind w:left="540" w:hanging="540"/>
        <w:jc w:val="center"/>
        <w:rPr>
          <w:b/>
          <w:sz w:val="22"/>
          <w:szCs w:val="22"/>
        </w:rPr>
      </w:pPr>
    </w:p>
    <w:p w:rsidR="003A6511" w:rsidRPr="003F082B" w:rsidRDefault="003A6511" w:rsidP="003A6511">
      <w:pPr>
        <w:tabs>
          <w:tab w:val="left" w:pos="630"/>
          <w:tab w:val="left" w:pos="1260"/>
          <w:tab w:val="left" w:pos="1890"/>
          <w:tab w:val="left" w:pos="2520"/>
          <w:tab w:val="left" w:pos="2700"/>
          <w:tab w:val="left" w:pos="5616"/>
        </w:tabs>
        <w:ind w:left="540" w:hanging="540"/>
        <w:jc w:val="center"/>
        <w:rPr>
          <w:b/>
          <w:sz w:val="22"/>
          <w:szCs w:val="22"/>
        </w:rPr>
      </w:pPr>
    </w:p>
    <w:p w:rsidR="003A6511" w:rsidRDefault="003A6511" w:rsidP="003A6511">
      <w:pPr>
        <w:tabs>
          <w:tab w:val="left" w:pos="630"/>
          <w:tab w:val="left" w:pos="1260"/>
          <w:tab w:val="left" w:pos="1890"/>
          <w:tab w:val="left" w:pos="2520"/>
          <w:tab w:val="left" w:pos="2700"/>
          <w:tab w:val="left" w:pos="5616"/>
        </w:tabs>
        <w:ind w:left="540" w:hanging="540"/>
        <w:jc w:val="center"/>
        <w:rPr>
          <w:szCs w:val="24"/>
        </w:rPr>
      </w:pPr>
    </w:p>
    <w:p w:rsidR="003A6511" w:rsidRDefault="003A6511" w:rsidP="003A6511">
      <w:pPr>
        <w:tabs>
          <w:tab w:val="left" w:pos="630"/>
          <w:tab w:val="left" w:pos="1260"/>
          <w:tab w:val="left" w:pos="1890"/>
          <w:tab w:val="left" w:pos="2520"/>
          <w:tab w:val="left" w:pos="2700"/>
          <w:tab w:val="left" w:pos="5616"/>
        </w:tabs>
        <w:ind w:left="540" w:hanging="540"/>
        <w:jc w:val="center"/>
        <w:rPr>
          <w:szCs w:val="24"/>
        </w:rPr>
      </w:pPr>
    </w:p>
    <w:p w:rsidR="003A6511" w:rsidRDefault="003A6511" w:rsidP="003A6511">
      <w:pPr>
        <w:tabs>
          <w:tab w:val="left" w:pos="630"/>
          <w:tab w:val="left" w:pos="1260"/>
          <w:tab w:val="left" w:pos="1890"/>
          <w:tab w:val="left" w:pos="2520"/>
          <w:tab w:val="left" w:pos="2700"/>
          <w:tab w:val="left" w:pos="5616"/>
        </w:tabs>
        <w:ind w:left="540" w:hanging="540"/>
        <w:jc w:val="center"/>
        <w:rPr>
          <w:szCs w:val="24"/>
        </w:rPr>
      </w:pPr>
    </w:p>
    <w:p w:rsidR="003A6511" w:rsidRDefault="003A6511" w:rsidP="003A6511">
      <w:pPr>
        <w:tabs>
          <w:tab w:val="left" w:pos="630"/>
          <w:tab w:val="left" w:pos="1260"/>
          <w:tab w:val="left" w:pos="1890"/>
          <w:tab w:val="left" w:pos="2520"/>
          <w:tab w:val="left" w:pos="2700"/>
          <w:tab w:val="left" w:pos="5616"/>
        </w:tabs>
        <w:ind w:left="540" w:hanging="540"/>
        <w:jc w:val="center"/>
        <w:rPr>
          <w:szCs w:val="24"/>
        </w:rPr>
      </w:pPr>
    </w:p>
    <w:p w:rsidR="003A6511" w:rsidRDefault="003A6511" w:rsidP="003A6511">
      <w:pPr>
        <w:tabs>
          <w:tab w:val="left" w:pos="630"/>
          <w:tab w:val="left" w:pos="1260"/>
          <w:tab w:val="left" w:pos="1890"/>
          <w:tab w:val="left" w:pos="2520"/>
          <w:tab w:val="left" w:pos="2700"/>
          <w:tab w:val="left" w:pos="5616"/>
        </w:tabs>
        <w:ind w:left="540" w:hanging="540"/>
        <w:jc w:val="center"/>
        <w:rPr>
          <w:szCs w:val="24"/>
        </w:rPr>
      </w:pPr>
    </w:p>
    <w:p w:rsidR="003A6511" w:rsidRDefault="003A6511" w:rsidP="003A6511">
      <w:pPr>
        <w:tabs>
          <w:tab w:val="left" w:pos="450"/>
          <w:tab w:val="left" w:pos="900"/>
          <w:tab w:val="left" w:pos="1296"/>
          <w:tab w:val="left" w:pos="1350"/>
          <w:tab w:val="left" w:pos="1800"/>
          <w:tab w:val="left" w:pos="5616"/>
        </w:tabs>
        <w:spacing w:line="240" w:lineRule="atLeast"/>
        <w:jc w:val="center"/>
        <w:rPr>
          <w:b/>
          <w:sz w:val="22"/>
          <w:szCs w:val="22"/>
        </w:rPr>
      </w:pPr>
    </w:p>
    <w:p w:rsidR="003A6511" w:rsidRDefault="003A6511" w:rsidP="003A6511">
      <w:pPr>
        <w:tabs>
          <w:tab w:val="left" w:pos="450"/>
          <w:tab w:val="left" w:pos="900"/>
          <w:tab w:val="left" w:pos="1296"/>
          <w:tab w:val="left" w:pos="1350"/>
          <w:tab w:val="left" w:pos="1800"/>
          <w:tab w:val="left" w:pos="5616"/>
        </w:tabs>
        <w:spacing w:line="240" w:lineRule="atLeast"/>
        <w:jc w:val="center"/>
        <w:rPr>
          <w:b/>
          <w:sz w:val="22"/>
          <w:szCs w:val="22"/>
        </w:rPr>
      </w:pPr>
    </w:p>
    <w:p w:rsidR="003A6511" w:rsidRDefault="003A6511" w:rsidP="003A6511">
      <w:pPr>
        <w:tabs>
          <w:tab w:val="left" w:pos="450"/>
          <w:tab w:val="left" w:pos="900"/>
          <w:tab w:val="left" w:pos="1296"/>
          <w:tab w:val="left" w:pos="1350"/>
          <w:tab w:val="left" w:pos="1800"/>
          <w:tab w:val="left" w:pos="5616"/>
        </w:tabs>
        <w:spacing w:line="240" w:lineRule="atLeast"/>
        <w:jc w:val="center"/>
        <w:rPr>
          <w:b/>
          <w:sz w:val="22"/>
          <w:szCs w:val="22"/>
        </w:rPr>
      </w:pPr>
    </w:p>
    <w:p w:rsidR="003A6511" w:rsidRDefault="003A6511" w:rsidP="003A6511">
      <w:pPr>
        <w:tabs>
          <w:tab w:val="left" w:pos="450"/>
          <w:tab w:val="left" w:pos="900"/>
          <w:tab w:val="left" w:pos="1296"/>
          <w:tab w:val="left" w:pos="1350"/>
          <w:tab w:val="left" w:pos="1800"/>
          <w:tab w:val="left" w:pos="5616"/>
        </w:tabs>
        <w:spacing w:line="240" w:lineRule="atLeast"/>
        <w:jc w:val="center"/>
        <w:rPr>
          <w:b/>
          <w:sz w:val="22"/>
          <w:szCs w:val="22"/>
        </w:rPr>
      </w:pPr>
    </w:p>
    <w:p w:rsidR="003A6511" w:rsidRDefault="003A6511" w:rsidP="003A6511">
      <w:pPr>
        <w:tabs>
          <w:tab w:val="left" w:pos="450"/>
          <w:tab w:val="left" w:pos="900"/>
          <w:tab w:val="left" w:pos="1296"/>
          <w:tab w:val="left" w:pos="1350"/>
          <w:tab w:val="left" w:pos="1800"/>
          <w:tab w:val="left" w:pos="5616"/>
        </w:tabs>
        <w:spacing w:line="240" w:lineRule="atLeast"/>
        <w:jc w:val="center"/>
        <w:rPr>
          <w:b/>
          <w:sz w:val="22"/>
          <w:szCs w:val="22"/>
        </w:rPr>
      </w:pPr>
    </w:p>
    <w:p w:rsidR="003A6511" w:rsidRDefault="003A6511" w:rsidP="003A6511">
      <w:pPr>
        <w:tabs>
          <w:tab w:val="left" w:pos="450"/>
          <w:tab w:val="left" w:pos="900"/>
          <w:tab w:val="left" w:pos="1296"/>
          <w:tab w:val="left" w:pos="1350"/>
          <w:tab w:val="left" w:pos="1800"/>
          <w:tab w:val="left" w:pos="5616"/>
        </w:tabs>
        <w:spacing w:line="240" w:lineRule="atLeast"/>
        <w:jc w:val="center"/>
        <w:rPr>
          <w:b/>
          <w:sz w:val="32"/>
          <w:szCs w:val="32"/>
        </w:rPr>
      </w:pPr>
    </w:p>
    <w:p w:rsidR="003A6511" w:rsidRDefault="003A6511" w:rsidP="003A6511">
      <w:pPr>
        <w:tabs>
          <w:tab w:val="left" w:pos="450"/>
          <w:tab w:val="left" w:pos="900"/>
          <w:tab w:val="left" w:pos="1296"/>
          <w:tab w:val="left" w:pos="1350"/>
          <w:tab w:val="left" w:pos="1800"/>
          <w:tab w:val="left" w:pos="5616"/>
        </w:tabs>
        <w:spacing w:line="240" w:lineRule="atLeast"/>
        <w:jc w:val="center"/>
        <w:rPr>
          <w:b/>
          <w:sz w:val="32"/>
          <w:szCs w:val="32"/>
        </w:rPr>
      </w:pPr>
    </w:p>
    <w:p w:rsidR="003A6511" w:rsidRDefault="003A6511" w:rsidP="003A6511">
      <w:pPr>
        <w:tabs>
          <w:tab w:val="left" w:pos="450"/>
          <w:tab w:val="left" w:pos="900"/>
          <w:tab w:val="left" w:pos="1296"/>
          <w:tab w:val="left" w:pos="1350"/>
          <w:tab w:val="left" w:pos="1800"/>
          <w:tab w:val="left" w:pos="5616"/>
        </w:tabs>
        <w:spacing w:line="240" w:lineRule="atLeast"/>
        <w:jc w:val="center"/>
        <w:rPr>
          <w:b/>
          <w:sz w:val="36"/>
          <w:szCs w:val="36"/>
        </w:rPr>
      </w:pPr>
    </w:p>
    <w:p w:rsidR="003A6511" w:rsidRDefault="003A6511" w:rsidP="003A6511">
      <w:pPr>
        <w:tabs>
          <w:tab w:val="left" w:pos="450"/>
          <w:tab w:val="left" w:pos="900"/>
          <w:tab w:val="left" w:pos="1296"/>
          <w:tab w:val="left" w:pos="1350"/>
          <w:tab w:val="left" w:pos="1800"/>
          <w:tab w:val="left" w:pos="5616"/>
        </w:tabs>
        <w:spacing w:line="240" w:lineRule="atLeast"/>
        <w:jc w:val="center"/>
        <w:rPr>
          <w:sz w:val="24"/>
          <w:szCs w:val="24"/>
        </w:rPr>
      </w:pPr>
    </w:p>
    <w:p w:rsidR="00001E02" w:rsidRDefault="006506DD" w:rsidP="003A6511">
      <w:pPr>
        <w:tabs>
          <w:tab w:val="left" w:pos="576"/>
          <w:tab w:val="left" w:pos="1152"/>
          <w:tab w:val="left" w:pos="2016"/>
          <w:tab w:val="left" w:pos="2592"/>
          <w:tab w:val="left" w:pos="3312"/>
          <w:tab w:val="left" w:pos="4032"/>
          <w:tab w:val="left" w:pos="5184"/>
          <w:tab w:val="left" w:pos="6048"/>
        </w:tabs>
        <w:jc w:val="center"/>
        <w:rPr>
          <w:b/>
          <w:sz w:val="36"/>
          <w:szCs w:val="36"/>
        </w:rPr>
      </w:pPr>
      <w:r>
        <w:rPr>
          <w:b/>
          <w:sz w:val="36"/>
          <w:szCs w:val="36"/>
        </w:rPr>
        <w:t>Houston</w:t>
      </w:r>
      <w:r w:rsidR="00001E02">
        <w:rPr>
          <w:b/>
          <w:sz w:val="36"/>
          <w:szCs w:val="36"/>
        </w:rPr>
        <w:t xml:space="preserve"> Estate </w:t>
      </w:r>
      <w:r>
        <w:rPr>
          <w:b/>
          <w:sz w:val="36"/>
          <w:szCs w:val="36"/>
        </w:rPr>
        <w:t>and Financial Forum</w:t>
      </w:r>
    </w:p>
    <w:p w:rsidR="00001E02" w:rsidRDefault="00001E02" w:rsidP="003A6511">
      <w:pPr>
        <w:tabs>
          <w:tab w:val="left" w:pos="450"/>
          <w:tab w:val="left" w:pos="900"/>
          <w:tab w:val="left" w:pos="1296"/>
          <w:tab w:val="left" w:pos="1350"/>
          <w:tab w:val="left" w:pos="1800"/>
          <w:tab w:val="left" w:pos="5616"/>
        </w:tabs>
        <w:spacing w:line="240" w:lineRule="atLeast"/>
        <w:jc w:val="center"/>
        <w:rPr>
          <w:sz w:val="24"/>
          <w:szCs w:val="24"/>
        </w:rPr>
      </w:pPr>
    </w:p>
    <w:p w:rsidR="003A6511" w:rsidRPr="0015117C" w:rsidRDefault="006506DD" w:rsidP="003A6511">
      <w:pPr>
        <w:tabs>
          <w:tab w:val="left" w:pos="450"/>
          <w:tab w:val="left" w:pos="900"/>
          <w:tab w:val="left" w:pos="1296"/>
          <w:tab w:val="left" w:pos="1350"/>
          <w:tab w:val="left" w:pos="1800"/>
          <w:tab w:val="left" w:pos="5616"/>
        </w:tabs>
        <w:spacing w:line="240" w:lineRule="atLeast"/>
        <w:jc w:val="center"/>
        <w:rPr>
          <w:sz w:val="24"/>
          <w:szCs w:val="24"/>
        </w:rPr>
      </w:pPr>
      <w:r>
        <w:rPr>
          <w:sz w:val="24"/>
          <w:szCs w:val="24"/>
        </w:rPr>
        <w:t>Houston</w:t>
      </w:r>
      <w:r w:rsidR="003A6511">
        <w:rPr>
          <w:sz w:val="24"/>
          <w:szCs w:val="24"/>
        </w:rPr>
        <w:t>, Texas</w:t>
      </w:r>
    </w:p>
    <w:p w:rsidR="003A6511" w:rsidRPr="0015117C" w:rsidRDefault="006506DD" w:rsidP="003A6511">
      <w:pPr>
        <w:tabs>
          <w:tab w:val="left" w:pos="450"/>
          <w:tab w:val="left" w:pos="900"/>
          <w:tab w:val="left" w:pos="1296"/>
          <w:tab w:val="left" w:pos="1350"/>
          <w:tab w:val="left" w:pos="1800"/>
          <w:tab w:val="left" w:pos="5616"/>
        </w:tabs>
        <w:spacing w:line="240" w:lineRule="atLeast"/>
        <w:jc w:val="center"/>
        <w:rPr>
          <w:sz w:val="24"/>
          <w:szCs w:val="24"/>
        </w:rPr>
      </w:pPr>
      <w:r>
        <w:rPr>
          <w:sz w:val="24"/>
          <w:szCs w:val="24"/>
        </w:rPr>
        <w:t>September 28</w:t>
      </w:r>
      <w:r w:rsidR="003A6511">
        <w:rPr>
          <w:sz w:val="24"/>
          <w:szCs w:val="24"/>
        </w:rPr>
        <w:t>, 2018</w:t>
      </w:r>
    </w:p>
    <w:p w:rsidR="003A6511" w:rsidRPr="003F082B" w:rsidRDefault="003A6511" w:rsidP="003A6511">
      <w:pPr>
        <w:tabs>
          <w:tab w:val="left" w:pos="450"/>
          <w:tab w:val="left" w:pos="900"/>
          <w:tab w:val="left" w:pos="1296"/>
          <w:tab w:val="left" w:pos="1350"/>
          <w:tab w:val="left" w:pos="1800"/>
          <w:tab w:val="left" w:pos="5616"/>
        </w:tabs>
        <w:spacing w:line="240" w:lineRule="atLeast"/>
        <w:jc w:val="center"/>
        <w:rPr>
          <w:sz w:val="22"/>
          <w:szCs w:val="22"/>
        </w:rPr>
      </w:pPr>
    </w:p>
    <w:p w:rsidR="003A6511" w:rsidRDefault="003A6511" w:rsidP="003A6511">
      <w:pPr>
        <w:jc w:val="left"/>
        <w:rPr>
          <w:rStyle w:val="documentbody1"/>
          <w:sz w:val="22"/>
          <w:szCs w:val="22"/>
        </w:rPr>
      </w:pPr>
    </w:p>
    <w:p w:rsidR="003A6511" w:rsidRDefault="003A6511" w:rsidP="003A6511">
      <w:pPr>
        <w:jc w:val="left"/>
        <w:rPr>
          <w:b/>
          <w:sz w:val="22"/>
          <w:szCs w:val="22"/>
        </w:rPr>
      </w:pPr>
    </w:p>
    <w:p w:rsidR="003A6511" w:rsidRDefault="003A6511" w:rsidP="003A6511">
      <w:pPr>
        <w:spacing w:after="200" w:line="276" w:lineRule="auto"/>
        <w:jc w:val="left"/>
        <w:rPr>
          <w:b/>
          <w:sz w:val="22"/>
          <w:szCs w:val="22"/>
        </w:rPr>
      </w:pPr>
      <w:r>
        <w:rPr>
          <w:b/>
          <w:sz w:val="22"/>
          <w:szCs w:val="22"/>
        </w:rPr>
        <w:br w:type="page"/>
      </w:r>
    </w:p>
    <w:p w:rsidR="003A6511" w:rsidRPr="00A37C95" w:rsidRDefault="003A6511" w:rsidP="003A6511">
      <w:pPr>
        <w:tabs>
          <w:tab w:val="left" w:pos="630"/>
          <w:tab w:val="left" w:pos="1260"/>
          <w:tab w:val="left" w:pos="1890"/>
          <w:tab w:val="left" w:pos="2520"/>
          <w:tab w:val="left" w:pos="2700"/>
          <w:tab w:val="left" w:pos="5616"/>
        </w:tabs>
        <w:ind w:left="540" w:hanging="540"/>
        <w:jc w:val="left"/>
        <w:rPr>
          <w:sz w:val="32"/>
          <w:szCs w:val="32"/>
        </w:rPr>
        <w:sectPr w:rsidR="003A6511" w:rsidRPr="00A37C95" w:rsidSect="00AC05FB">
          <w:footerReference w:type="even" r:id="rId7"/>
          <w:footerReference w:type="default" r:id="rId8"/>
          <w:footerReference w:type="first" r:id="rId9"/>
          <w:pgSz w:w="12240" w:h="15840"/>
          <w:pgMar w:top="1440" w:right="1440" w:bottom="1440" w:left="1440" w:header="720" w:footer="720" w:gutter="0"/>
          <w:pgNumType w:fmt="lowerRoman"/>
          <w:cols w:space="720"/>
          <w:titlePg/>
          <w:docGrid w:linePitch="360"/>
        </w:sectPr>
      </w:pPr>
    </w:p>
    <w:p w:rsidR="00EC6BDB" w:rsidRPr="003F082B" w:rsidRDefault="00EC6BDB" w:rsidP="00EC6BDB">
      <w:pPr>
        <w:tabs>
          <w:tab w:val="left" w:pos="1440"/>
          <w:tab w:val="right" w:leader="dot" w:pos="9360"/>
        </w:tabs>
        <w:spacing w:line="240" w:lineRule="atLeast"/>
        <w:ind w:right="900"/>
        <w:jc w:val="center"/>
        <w:rPr>
          <w:b/>
          <w:sz w:val="22"/>
          <w:szCs w:val="22"/>
        </w:rPr>
      </w:pPr>
      <w:bookmarkStart w:id="0" w:name="_GoBack"/>
      <w:bookmarkEnd w:id="0"/>
      <w:r w:rsidRPr="003F082B">
        <w:rPr>
          <w:b/>
          <w:sz w:val="22"/>
          <w:szCs w:val="22"/>
        </w:rPr>
        <w:lastRenderedPageBreak/>
        <w:t>TABLE OF CONTENTS</w:t>
      </w:r>
    </w:p>
    <w:p w:rsidR="00EC6BDB" w:rsidRPr="003F082B" w:rsidRDefault="00EC6BDB" w:rsidP="00EC6BDB">
      <w:pPr>
        <w:tabs>
          <w:tab w:val="left" w:pos="1440"/>
          <w:tab w:val="right" w:leader="dot" w:pos="9360"/>
        </w:tabs>
        <w:spacing w:line="240" w:lineRule="atLeast"/>
        <w:ind w:right="900"/>
        <w:jc w:val="left"/>
        <w:rPr>
          <w:b/>
          <w:sz w:val="22"/>
          <w:szCs w:val="22"/>
        </w:rPr>
      </w:pPr>
    </w:p>
    <w:p w:rsidR="00EC6BDB" w:rsidRDefault="00EC6BDB" w:rsidP="00EC6BDB">
      <w:pPr>
        <w:tabs>
          <w:tab w:val="left" w:pos="720"/>
          <w:tab w:val="right" w:leader="dot" w:pos="9360"/>
        </w:tabs>
        <w:ind w:right="900"/>
        <w:rPr>
          <w:b/>
          <w:sz w:val="22"/>
          <w:szCs w:val="22"/>
        </w:rPr>
      </w:pPr>
      <w:r>
        <w:rPr>
          <w:b/>
          <w:sz w:val="22"/>
          <w:szCs w:val="22"/>
        </w:rPr>
        <w:t>I.</w:t>
      </w:r>
      <w:r>
        <w:rPr>
          <w:b/>
          <w:sz w:val="22"/>
          <w:szCs w:val="22"/>
        </w:rPr>
        <w:tab/>
        <w:t>The Federal Estate Tax—</w:t>
      </w:r>
      <w:r w:rsidRPr="00C24BED">
        <w:rPr>
          <w:b/>
          <w:i/>
          <w:sz w:val="22"/>
          <w:szCs w:val="22"/>
        </w:rPr>
        <w:t>What</w:t>
      </w:r>
      <w:r>
        <w:rPr>
          <w:b/>
          <w:sz w:val="22"/>
          <w:szCs w:val="22"/>
        </w:rPr>
        <w:t xml:space="preserve"> Federal Estate Tax?</w:t>
      </w:r>
    </w:p>
    <w:p w:rsidR="00EC6BDB" w:rsidRPr="004D6336" w:rsidRDefault="00EC6BDB" w:rsidP="00EC6BDB">
      <w:pPr>
        <w:tabs>
          <w:tab w:val="right" w:leader="dot" w:pos="9360"/>
        </w:tabs>
        <w:ind w:left="1260" w:right="900" w:hanging="540"/>
        <w:rPr>
          <w:sz w:val="22"/>
          <w:szCs w:val="22"/>
        </w:rPr>
      </w:pPr>
      <w:r>
        <w:rPr>
          <w:sz w:val="22"/>
          <w:szCs w:val="22"/>
        </w:rPr>
        <w:t>A.</w:t>
      </w:r>
      <w:r>
        <w:rPr>
          <w:sz w:val="22"/>
          <w:szCs w:val="22"/>
        </w:rPr>
        <w:tab/>
      </w:r>
      <w:r w:rsidR="00E25A6F">
        <w:rPr>
          <w:sz w:val="22"/>
          <w:szCs w:val="22"/>
        </w:rPr>
        <w:t xml:space="preserve">Estate </w:t>
      </w:r>
      <w:r w:rsidR="00F27D09">
        <w:rPr>
          <w:sz w:val="22"/>
          <w:szCs w:val="22"/>
        </w:rPr>
        <w:t>tax exemption increased to $11.18</w:t>
      </w:r>
      <w:r w:rsidR="00E25A6F">
        <w:rPr>
          <w:sz w:val="22"/>
          <w:szCs w:val="22"/>
        </w:rPr>
        <w:t xml:space="preserve"> million—for now</w:t>
      </w:r>
      <w:r>
        <w:rPr>
          <w:sz w:val="22"/>
          <w:szCs w:val="22"/>
        </w:rPr>
        <w:tab/>
      </w:r>
      <w:r w:rsidRPr="004D6336">
        <w:rPr>
          <w:sz w:val="22"/>
          <w:szCs w:val="22"/>
        </w:rPr>
        <w:t>1</w:t>
      </w:r>
    </w:p>
    <w:p w:rsidR="000C11C3" w:rsidRDefault="000C11C3" w:rsidP="000C11C3">
      <w:pPr>
        <w:tabs>
          <w:tab w:val="right" w:leader="dot" w:pos="9360"/>
        </w:tabs>
        <w:ind w:left="1260" w:right="900" w:hanging="540"/>
        <w:rPr>
          <w:sz w:val="22"/>
          <w:szCs w:val="22"/>
        </w:rPr>
      </w:pPr>
      <w:r>
        <w:rPr>
          <w:sz w:val="22"/>
          <w:szCs w:val="22"/>
        </w:rPr>
        <w:t>B.</w:t>
      </w:r>
      <w:r>
        <w:rPr>
          <w:sz w:val="22"/>
          <w:szCs w:val="22"/>
        </w:rPr>
        <w:tab/>
        <w:t>Trusts will remain the linchpin of any good estate plan</w:t>
      </w:r>
      <w:r>
        <w:rPr>
          <w:sz w:val="22"/>
          <w:szCs w:val="22"/>
        </w:rPr>
        <w:tab/>
        <w:t>3</w:t>
      </w:r>
    </w:p>
    <w:p w:rsidR="00EC6BDB" w:rsidRDefault="00EC6BDB" w:rsidP="00EC6BDB">
      <w:pPr>
        <w:tabs>
          <w:tab w:val="right" w:leader="dot" w:pos="9360"/>
        </w:tabs>
        <w:ind w:left="1260" w:right="900" w:hanging="540"/>
        <w:rPr>
          <w:sz w:val="22"/>
          <w:szCs w:val="22"/>
        </w:rPr>
      </w:pPr>
      <w:r>
        <w:rPr>
          <w:sz w:val="22"/>
          <w:szCs w:val="22"/>
        </w:rPr>
        <w:t>C</w:t>
      </w:r>
      <w:r w:rsidRPr="003F082B">
        <w:rPr>
          <w:sz w:val="22"/>
          <w:szCs w:val="22"/>
        </w:rPr>
        <w:t>.</w:t>
      </w:r>
      <w:r w:rsidRPr="003F082B">
        <w:rPr>
          <w:sz w:val="22"/>
          <w:szCs w:val="22"/>
        </w:rPr>
        <w:tab/>
      </w:r>
      <w:r w:rsidR="004435CD">
        <w:rPr>
          <w:sz w:val="22"/>
          <w:szCs w:val="22"/>
        </w:rPr>
        <w:t>Building flexibility into the estate plan</w:t>
      </w:r>
      <w:r w:rsidR="000C11C3">
        <w:rPr>
          <w:sz w:val="22"/>
          <w:szCs w:val="22"/>
        </w:rPr>
        <w:t>—Clayton trust?</w:t>
      </w:r>
      <w:r w:rsidR="004435CD">
        <w:rPr>
          <w:sz w:val="22"/>
          <w:szCs w:val="22"/>
        </w:rPr>
        <w:tab/>
      </w:r>
      <w:r w:rsidR="000C11C3">
        <w:rPr>
          <w:sz w:val="22"/>
          <w:szCs w:val="22"/>
        </w:rPr>
        <w:t>6</w:t>
      </w:r>
    </w:p>
    <w:p w:rsidR="00EC6BDB" w:rsidRDefault="00EC6BDB" w:rsidP="00EC6BDB">
      <w:pPr>
        <w:tabs>
          <w:tab w:val="left" w:pos="1440"/>
          <w:tab w:val="right" w:leader="dot" w:pos="9360"/>
        </w:tabs>
        <w:ind w:right="900"/>
        <w:rPr>
          <w:sz w:val="22"/>
          <w:szCs w:val="22"/>
        </w:rPr>
      </w:pPr>
    </w:p>
    <w:p w:rsidR="00EC6BDB" w:rsidRDefault="00EC6BDB" w:rsidP="00EC6BDB">
      <w:pPr>
        <w:tabs>
          <w:tab w:val="left" w:pos="720"/>
          <w:tab w:val="right" w:leader="dot" w:pos="9360"/>
        </w:tabs>
        <w:ind w:right="900"/>
        <w:rPr>
          <w:b/>
          <w:sz w:val="22"/>
          <w:szCs w:val="22"/>
        </w:rPr>
      </w:pPr>
      <w:r>
        <w:rPr>
          <w:b/>
          <w:sz w:val="22"/>
          <w:szCs w:val="22"/>
        </w:rPr>
        <w:t>II.</w:t>
      </w:r>
      <w:r>
        <w:rPr>
          <w:b/>
          <w:sz w:val="22"/>
          <w:szCs w:val="22"/>
        </w:rPr>
        <w:tab/>
        <w:t>Section 67—</w:t>
      </w:r>
      <w:r w:rsidR="004C2DCA">
        <w:rPr>
          <w:b/>
          <w:sz w:val="22"/>
          <w:szCs w:val="22"/>
        </w:rPr>
        <w:t>Miscellaneous Itemized Deductions</w:t>
      </w:r>
    </w:p>
    <w:p w:rsidR="00EC6BDB" w:rsidRDefault="00EC6BDB" w:rsidP="00EC6BDB">
      <w:pPr>
        <w:tabs>
          <w:tab w:val="right" w:leader="dot" w:pos="9360"/>
        </w:tabs>
        <w:ind w:left="1260" w:right="900" w:hanging="540"/>
        <w:rPr>
          <w:sz w:val="22"/>
          <w:szCs w:val="22"/>
        </w:rPr>
      </w:pPr>
      <w:r>
        <w:rPr>
          <w:sz w:val="22"/>
          <w:szCs w:val="22"/>
        </w:rPr>
        <w:t>A.</w:t>
      </w:r>
      <w:r>
        <w:rPr>
          <w:sz w:val="22"/>
          <w:szCs w:val="22"/>
        </w:rPr>
        <w:tab/>
      </w:r>
      <w:r w:rsidR="004C2DCA">
        <w:rPr>
          <w:sz w:val="22"/>
          <w:szCs w:val="22"/>
        </w:rPr>
        <w:t>Estate and trust administration fees can continue to be deductible</w:t>
      </w:r>
      <w:r w:rsidR="009A2C9F">
        <w:rPr>
          <w:sz w:val="22"/>
          <w:szCs w:val="22"/>
        </w:rPr>
        <w:tab/>
        <w:t>7</w:t>
      </w:r>
    </w:p>
    <w:p w:rsidR="00EC6BDB" w:rsidRDefault="00EC6BDB" w:rsidP="00EC6BDB">
      <w:pPr>
        <w:tabs>
          <w:tab w:val="left" w:pos="1440"/>
          <w:tab w:val="right" w:leader="dot" w:pos="9360"/>
        </w:tabs>
        <w:ind w:right="900"/>
        <w:rPr>
          <w:sz w:val="22"/>
          <w:szCs w:val="22"/>
        </w:rPr>
      </w:pPr>
    </w:p>
    <w:p w:rsidR="00EC6BDB" w:rsidRDefault="00EC6BDB" w:rsidP="00EC6BDB">
      <w:pPr>
        <w:tabs>
          <w:tab w:val="left" w:pos="720"/>
          <w:tab w:val="right" w:leader="dot" w:pos="9360"/>
        </w:tabs>
        <w:ind w:right="900"/>
        <w:rPr>
          <w:b/>
          <w:sz w:val="22"/>
          <w:szCs w:val="22"/>
        </w:rPr>
      </w:pPr>
      <w:r>
        <w:rPr>
          <w:b/>
          <w:sz w:val="22"/>
          <w:szCs w:val="22"/>
        </w:rPr>
        <w:t>I</w:t>
      </w:r>
      <w:r w:rsidR="004435CD">
        <w:rPr>
          <w:b/>
          <w:sz w:val="22"/>
          <w:szCs w:val="22"/>
        </w:rPr>
        <w:t>II</w:t>
      </w:r>
      <w:r>
        <w:rPr>
          <w:b/>
          <w:sz w:val="22"/>
          <w:szCs w:val="22"/>
        </w:rPr>
        <w:t>.</w:t>
      </w:r>
      <w:r>
        <w:rPr>
          <w:b/>
          <w:sz w:val="22"/>
          <w:szCs w:val="22"/>
        </w:rPr>
        <w:tab/>
        <w:t>Section 1014—Basis of Property Acquired From a Decedent</w:t>
      </w:r>
    </w:p>
    <w:p w:rsidR="00EC6BDB" w:rsidRDefault="00EC6BDB" w:rsidP="00EC6BDB">
      <w:pPr>
        <w:tabs>
          <w:tab w:val="right" w:leader="dot" w:pos="9360"/>
        </w:tabs>
        <w:ind w:left="1260" w:right="900" w:hanging="540"/>
        <w:rPr>
          <w:sz w:val="22"/>
          <w:szCs w:val="22"/>
        </w:rPr>
      </w:pPr>
      <w:r>
        <w:rPr>
          <w:sz w:val="22"/>
          <w:szCs w:val="22"/>
        </w:rPr>
        <w:t>A.</w:t>
      </w:r>
      <w:r>
        <w:rPr>
          <w:sz w:val="22"/>
          <w:szCs w:val="22"/>
        </w:rPr>
        <w:tab/>
      </w:r>
      <w:r w:rsidR="000C11C3">
        <w:rPr>
          <w:sz w:val="22"/>
          <w:szCs w:val="22"/>
        </w:rPr>
        <w:t>New focus: Income tax planning</w:t>
      </w:r>
      <w:r w:rsidR="000C11C3">
        <w:rPr>
          <w:sz w:val="22"/>
          <w:szCs w:val="22"/>
        </w:rPr>
        <w:tab/>
      </w:r>
      <w:r w:rsidR="004C2DCA">
        <w:rPr>
          <w:sz w:val="22"/>
          <w:szCs w:val="22"/>
        </w:rPr>
        <w:t>7</w:t>
      </w:r>
    </w:p>
    <w:p w:rsidR="00EC6BDB" w:rsidRDefault="00EC6BDB" w:rsidP="00EC6BDB">
      <w:pPr>
        <w:tabs>
          <w:tab w:val="left" w:pos="1440"/>
          <w:tab w:val="right" w:leader="dot" w:pos="9360"/>
        </w:tabs>
        <w:ind w:right="900"/>
        <w:rPr>
          <w:b/>
          <w:sz w:val="22"/>
          <w:szCs w:val="22"/>
        </w:rPr>
      </w:pPr>
    </w:p>
    <w:p w:rsidR="00EC6BDB" w:rsidRPr="00FC1596" w:rsidRDefault="004435CD" w:rsidP="00EC6BDB">
      <w:pPr>
        <w:tabs>
          <w:tab w:val="left" w:pos="720"/>
          <w:tab w:val="right" w:leader="dot" w:pos="9360"/>
        </w:tabs>
        <w:ind w:right="900"/>
        <w:rPr>
          <w:b/>
          <w:sz w:val="22"/>
          <w:szCs w:val="22"/>
        </w:rPr>
      </w:pPr>
      <w:r>
        <w:rPr>
          <w:b/>
          <w:sz w:val="22"/>
          <w:szCs w:val="22"/>
        </w:rPr>
        <w:t>I</w:t>
      </w:r>
      <w:r w:rsidR="00EC6BDB">
        <w:rPr>
          <w:b/>
          <w:sz w:val="22"/>
          <w:szCs w:val="22"/>
        </w:rPr>
        <w:t>V</w:t>
      </w:r>
      <w:r w:rsidR="00EC6BDB" w:rsidRPr="00602032">
        <w:rPr>
          <w:b/>
          <w:sz w:val="22"/>
          <w:szCs w:val="22"/>
        </w:rPr>
        <w:t>.</w:t>
      </w:r>
      <w:r w:rsidR="00EC6BDB" w:rsidRPr="00602032">
        <w:rPr>
          <w:b/>
          <w:sz w:val="22"/>
          <w:szCs w:val="22"/>
        </w:rPr>
        <w:tab/>
      </w:r>
      <w:r w:rsidR="00EC6BDB">
        <w:rPr>
          <w:b/>
          <w:sz w:val="22"/>
          <w:szCs w:val="22"/>
        </w:rPr>
        <w:t>Sections 2036 and 2038—Retained Interests or Powers</w:t>
      </w:r>
    </w:p>
    <w:p w:rsidR="00EC6BDB" w:rsidRPr="003F082B" w:rsidRDefault="00EC6BDB" w:rsidP="00EC6BDB">
      <w:pPr>
        <w:tabs>
          <w:tab w:val="right" w:leader="dot" w:pos="9360"/>
        </w:tabs>
        <w:ind w:left="1260" w:right="900" w:hanging="540"/>
        <w:rPr>
          <w:sz w:val="22"/>
          <w:szCs w:val="22"/>
        </w:rPr>
      </w:pPr>
      <w:r>
        <w:rPr>
          <w:sz w:val="22"/>
          <w:szCs w:val="22"/>
        </w:rPr>
        <w:t>A</w:t>
      </w:r>
      <w:r w:rsidRPr="003F082B">
        <w:rPr>
          <w:sz w:val="22"/>
          <w:szCs w:val="22"/>
        </w:rPr>
        <w:t>.</w:t>
      </w:r>
      <w:r w:rsidRPr="003F082B">
        <w:rPr>
          <w:sz w:val="22"/>
          <w:szCs w:val="22"/>
        </w:rPr>
        <w:tab/>
      </w:r>
      <w:r>
        <w:rPr>
          <w:sz w:val="22"/>
          <w:szCs w:val="22"/>
        </w:rPr>
        <w:t>FLP assets includible even though grantor held only limited partnership interests</w:t>
      </w:r>
      <w:r w:rsidRPr="003F082B">
        <w:rPr>
          <w:sz w:val="22"/>
          <w:szCs w:val="22"/>
        </w:rPr>
        <w:tab/>
      </w:r>
      <w:r w:rsidR="004C2DCA">
        <w:rPr>
          <w:sz w:val="22"/>
          <w:szCs w:val="22"/>
        </w:rPr>
        <w:t>9</w:t>
      </w:r>
    </w:p>
    <w:p w:rsidR="00EC6BDB" w:rsidRDefault="00EC6BDB" w:rsidP="00EC6BDB">
      <w:pPr>
        <w:tabs>
          <w:tab w:val="left" w:pos="720"/>
          <w:tab w:val="right" w:leader="dot" w:pos="9360"/>
        </w:tabs>
        <w:ind w:right="900"/>
        <w:rPr>
          <w:b/>
          <w:sz w:val="22"/>
          <w:szCs w:val="22"/>
        </w:rPr>
      </w:pPr>
    </w:p>
    <w:p w:rsidR="004435CD" w:rsidRPr="00FC1596" w:rsidRDefault="004435CD" w:rsidP="004435CD">
      <w:pPr>
        <w:tabs>
          <w:tab w:val="left" w:pos="720"/>
          <w:tab w:val="right" w:leader="dot" w:pos="9360"/>
        </w:tabs>
        <w:ind w:right="900"/>
        <w:rPr>
          <w:b/>
          <w:sz w:val="22"/>
          <w:szCs w:val="22"/>
        </w:rPr>
      </w:pPr>
      <w:r>
        <w:rPr>
          <w:b/>
          <w:sz w:val="22"/>
          <w:szCs w:val="22"/>
        </w:rPr>
        <w:t>V</w:t>
      </w:r>
      <w:r w:rsidRPr="00602032">
        <w:rPr>
          <w:b/>
          <w:sz w:val="22"/>
          <w:szCs w:val="22"/>
        </w:rPr>
        <w:t>.</w:t>
      </w:r>
      <w:r w:rsidRPr="00602032">
        <w:rPr>
          <w:b/>
          <w:sz w:val="22"/>
          <w:szCs w:val="22"/>
        </w:rPr>
        <w:tab/>
      </w:r>
      <w:r>
        <w:rPr>
          <w:b/>
          <w:sz w:val="22"/>
          <w:szCs w:val="22"/>
        </w:rPr>
        <w:t>Section 2041—Powers of Appointment</w:t>
      </w:r>
    </w:p>
    <w:p w:rsidR="004435CD" w:rsidRPr="003F082B" w:rsidRDefault="004435CD" w:rsidP="004435CD">
      <w:pPr>
        <w:tabs>
          <w:tab w:val="right" w:leader="dot" w:pos="9360"/>
        </w:tabs>
        <w:ind w:left="1260" w:right="900" w:hanging="540"/>
        <w:rPr>
          <w:sz w:val="22"/>
          <w:szCs w:val="22"/>
        </w:rPr>
      </w:pPr>
      <w:r>
        <w:rPr>
          <w:sz w:val="22"/>
          <w:szCs w:val="22"/>
        </w:rPr>
        <w:t>A</w:t>
      </w:r>
      <w:r w:rsidRPr="003F082B">
        <w:rPr>
          <w:sz w:val="22"/>
          <w:szCs w:val="22"/>
        </w:rPr>
        <w:t>.</w:t>
      </w:r>
      <w:r w:rsidRPr="003F082B">
        <w:rPr>
          <w:sz w:val="22"/>
          <w:szCs w:val="22"/>
        </w:rPr>
        <w:tab/>
      </w:r>
      <w:r>
        <w:rPr>
          <w:sz w:val="22"/>
          <w:szCs w:val="22"/>
        </w:rPr>
        <w:t>Why HEMS ascertainable standard should continue to be employed</w:t>
      </w:r>
      <w:r w:rsidRPr="003F082B">
        <w:rPr>
          <w:sz w:val="22"/>
          <w:szCs w:val="22"/>
        </w:rPr>
        <w:tab/>
      </w:r>
      <w:r w:rsidR="000C11C3">
        <w:rPr>
          <w:sz w:val="22"/>
          <w:szCs w:val="22"/>
        </w:rPr>
        <w:t>1</w:t>
      </w:r>
      <w:r w:rsidR="004C2DCA">
        <w:rPr>
          <w:sz w:val="22"/>
          <w:szCs w:val="22"/>
        </w:rPr>
        <w:t>0</w:t>
      </w:r>
    </w:p>
    <w:p w:rsidR="00FA6F0D" w:rsidRPr="003F082B" w:rsidRDefault="00FA6F0D" w:rsidP="00FA6F0D">
      <w:pPr>
        <w:tabs>
          <w:tab w:val="right" w:leader="dot" w:pos="9360"/>
        </w:tabs>
        <w:ind w:left="1260" w:right="900" w:hanging="540"/>
        <w:rPr>
          <w:sz w:val="22"/>
          <w:szCs w:val="22"/>
        </w:rPr>
      </w:pPr>
      <w:r>
        <w:rPr>
          <w:sz w:val="22"/>
          <w:szCs w:val="22"/>
        </w:rPr>
        <w:t>A</w:t>
      </w:r>
      <w:r w:rsidRPr="003F082B">
        <w:rPr>
          <w:sz w:val="22"/>
          <w:szCs w:val="22"/>
        </w:rPr>
        <w:t>.</w:t>
      </w:r>
      <w:r w:rsidRPr="003F082B">
        <w:rPr>
          <w:sz w:val="22"/>
          <w:szCs w:val="22"/>
        </w:rPr>
        <w:tab/>
      </w:r>
      <w:r>
        <w:rPr>
          <w:sz w:val="22"/>
          <w:szCs w:val="22"/>
        </w:rPr>
        <w:t>Should beneficiaries be given the power to invade for comfort? No.</w:t>
      </w:r>
      <w:r w:rsidRPr="003F082B">
        <w:rPr>
          <w:sz w:val="22"/>
          <w:szCs w:val="22"/>
        </w:rPr>
        <w:tab/>
      </w:r>
      <w:r w:rsidR="004C2DCA">
        <w:rPr>
          <w:sz w:val="22"/>
          <w:szCs w:val="22"/>
        </w:rPr>
        <w:t>10</w:t>
      </w:r>
    </w:p>
    <w:p w:rsidR="004435CD" w:rsidRDefault="004435CD" w:rsidP="004435CD">
      <w:pPr>
        <w:tabs>
          <w:tab w:val="left" w:pos="720"/>
          <w:tab w:val="right" w:leader="dot" w:pos="9360"/>
        </w:tabs>
        <w:ind w:right="900"/>
        <w:rPr>
          <w:b/>
          <w:sz w:val="22"/>
          <w:szCs w:val="22"/>
        </w:rPr>
      </w:pPr>
    </w:p>
    <w:p w:rsidR="00EC6BDB" w:rsidRPr="009C433F" w:rsidRDefault="004435CD" w:rsidP="00EC6BDB">
      <w:pPr>
        <w:tabs>
          <w:tab w:val="left" w:pos="720"/>
          <w:tab w:val="right" w:leader="dot" w:pos="9360"/>
        </w:tabs>
        <w:ind w:right="900"/>
        <w:rPr>
          <w:b/>
          <w:sz w:val="22"/>
          <w:szCs w:val="22"/>
        </w:rPr>
      </w:pPr>
      <w:r>
        <w:rPr>
          <w:b/>
          <w:sz w:val="22"/>
          <w:szCs w:val="22"/>
        </w:rPr>
        <w:t>VI</w:t>
      </w:r>
      <w:r w:rsidR="00EC6BDB" w:rsidRPr="009C433F">
        <w:rPr>
          <w:b/>
          <w:sz w:val="22"/>
          <w:szCs w:val="22"/>
        </w:rPr>
        <w:t>.</w:t>
      </w:r>
      <w:r w:rsidR="00EC6BDB" w:rsidRPr="009C433F">
        <w:rPr>
          <w:b/>
          <w:sz w:val="22"/>
          <w:szCs w:val="22"/>
        </w:rPr>
        <w:tab/>
        <w:t>Section 205</w:t>
      </w:r>
      <w:r w:rsidR="00EC6BDB">
        <w:rPr>
          <w:b/>
          <w:sz w:val="22"/>
          <w:szCs w:val="22"/>
        </w:rPr>
        <w:t>6</w:t>
      </w:r>
      <w:r w:rsidR="00EC6BDB" w:rsidRPr="009C433F">
        <w:rPr>
          <w:b/>
          <w:sz w:val="22"/>
          <w:szCs w:val="22"/>
        </w:rPr>
        <w:t>—</w:t>
      </w:r>
      <w:r w:rsidR="00EC6BDB">
        <w:rPr>
          <w:b/>
          <w:sz w:val="22"/>
          <w:szCs w:val="22"/>
        </w:rPr>
        <w:t>Marital</w:t>
      </w:r>
      <w:r w:rsidR="00EC6BDB" w:rsidRPr="009C433F">
        <w:rPr>
          <w:b/>
          <w:sz w:val="22"/>
          <w:szCs w:val="22"/>
        </w:rPr>
        <w:t xml:space="preserve"> </w:t>
      </w:r>
      <w:r w:rsidR="00EC6BDB">
        <w:rPr>
          <w:b/>
          <w:sz w:val="22"/>
          <w:szCs w:val="22"/>
        </w:rPr>
        <w:t>Deduction</w:t>
      </w:r>
    </w:p>
    <w:p w:rsidR="00EC6BDB" w:rsidRPr="00331955" w:rsidRDefault="004C2DCA" w:rsidP="00EC6BDB">
      <w:pPr>
        <w:tabs>
          <w:tab w:val="right" w:leader="dot" w:pos="9360"/>
        </w:tabs>
        <w:ind w:left="1260" w:right="900" w:hanging="540"/>
        <w:rPr>
          <w:sz w:val="22"/>
          <w:szCs w:val="22"/>
        </w:rPr>
      </w:pPr>
      <w:r>
        <w:rPr>
          <w:sz w:val="22"/>
          <w:szCs w:val="22"/>
        </w:rPr>
        <w:t>A</w:t>
      </w:r>
      <w:r w:rsidR="00EC6BDB" w:rsidRPr="00331955">
        <w:rPr>
          <w:sz w:val="22"/>
          <w:szCs w:val="22"/>
        </w:rPr>
        <w:t>.</w:t>
      </w:r>
      <w:r w:rsidR="00EC6BDB" w:rsidRPr="00331955">
        <w:rPr>
          <w:sz w:val="22"/>
          <w:szCs w:val="22"/>
        </w:rPr>
        <w:tab/>
      </w:r>
      <w:r w:rsidR="00EC6BDB">
        <w:rPr>
          <w:sz w:val="22"/>
          <w:szCs w:val="22"/>
        </w:rPr>
        <w:t>Administrator ordered to make DSUE election despite premarital a</w:t>
      </w:r>
      <w:r>
        <w:rPr>
          <w:sz w:val="22"/>
          <w:szCs w:val="22"/>
        </w:rPr>
        <w:t xml:space="preserve">greement </w:t>
      </w:r>
      <w:r>
        <w:rPr>
          <w:sz w:val="22"/>
          <w:szCs w:val="22"/>
        </w:rPr>
        <w:tab/>
        <w:t>12</w:t>
      </w:r>
    </w:p>
    <w:p w:rsidR="00EC6BDB" w:rsidRPr="00331955" w:rsidRDefault="00EC6BDB" w:rsidP="00EC6BDB">
      <w:pPr>
        <w:tabs>
          <w:tab w:val="right" w:leader="dot" w:pos="9360"/>
        </w:tabs>
        <w:ind w:left="1260" w:right="900" w:hanging="540"/>
        <w:rPr>
          <w:sz w:val="22"/>
          <w:szCs w:val="22"/>
        </w:rPr>
      </w:pPr>
      <w:r>
        <w:rPr>
          <w:sz w:val="22"/>
          <w:szCs w:val="22"/>
        </w:rPr>
        <w:t>C</w:t>
      </w:r>
      <w:r w:rsidRPr="00331955">
        <w:rPr>
          <w:sz w:val="22"/>
          <w:szCs w:val="22"/>
        </w:rPr>
        <w:t>.</w:t>
      </w:r>
      <w:r w:rsidRPr="00331955">
        <w:rPr>
          <w:sz w:val="22"/>
          <w:szCs w:val="22"/>
        </w:rPr>
        <w:tab/>
      </w:r>
      <w:r>
        <w:rPr>
          <w:sz w:val="22"/>
          <w:szCs w:val="22"/>
        </w:rPr>
        <w:t>Service properly examined return of deceased sp</w:t>
      </w:r>
      <w:r w:rsidR="004C2DCA">
        <w:rPr>
          <w:sz w:val="22"/>
          <w:szCs w:val="22"/>
        </w:rPr>
        <w:t>ouse to determine DSUE amount</w:t>
      </w:r>
      <w:r w:rsidR="004C2DCA">
        <w:rPr>
          <w:sz w:val="22"/>
          <w:szCs w:val="22"/>
        </w:rPr>
        <w:tab/>
        <w:t>12</w:t>
      </w:r>
    </w:p>
    <w:p w:rsidR="00EC6BDB" w:rsidRDefault="00EC6BDB" w:rsidP="00EC6BDB">
      <w:pPr>
        <w:tabs>
          <w:tab w:val="right" w:leader="dot" w:pos="9360"/>
        </w:tabs>
        <w:ind w:left="1260" w:right="900" w:hanging="540"/>
        <w:rPr>
          <w:b/>
          <w:sz w:val="22"/>
          <w:szCs w:val="22"/>
        </w:rPr>
      </w:pPr>
    </w:p>
    <w:p w:rsidR="00EC6BDB" w:rsidRDefault="00EC6BDB" w:rsidP="00EC6BDB">
      <w:pPr>
        <w:tabs>
          <w:tab w:val="right" w:leader="dot" w:pos="9360"/>
        </w:tabs>
        <w:ind w:left="1260" w:right="900" w:hanging="540"/>
        <w:rPr>
          <w:sz w:val="22"/>
          <w:szCs w:val="22"/>
        </w:rPr>
      </w:pPr>
    </w:p>
    <w:p w:rsidR="00EC6BDB" w:rsidRPr="0089729D" w:rsidRDefault="00EC6BDB" w:rsidP="00EC6BDB">
      <w:pPr>
        <w:tabs>
          <w:tab w:val="right" w:leader="dot" w:pos="9360"/>
        </w:tabs>
        <w:ind w:left="1260" w:right="900" w:hanging="540"/>
        <w:rPr>
          <w:sz w:val="22"/>
          <w:szCs w:val="22"/>
        </w:rPr>
      </w:pPr>
    </w:p>
    <w:p w:rsidR="00EC6BDB" w:rsidRPr="000B792B" w:rsidRDefault="00EC6BDB" w:rsidP="00EC6BDB">
      <w:pPr>
        <w:tabs>
          <w:tab w:val="right" w:leader="dot" w:pos="9360"/>
        </w:tabs>
        <w:spacing w:line="240" w:lineRule="atLeast"/>
        <w:ind w:left="1260" w:right="900" w:hanging="540"/>
        <w:jc w:val="left"/>
        <w:rPr>
          <w:sz w:val="22"/>
          <w:szCs w:val="22"/>
        </w:rPr>
      </w:pPr>
    </w:p>
    <w:p w:rsidR="00EC6BDB" w:rsidRPr="003F082B" w:rsidRDefault="00EC6BDB" w:rsidP="00EC6BDB">
      <w:pPr>
        <w:tabs>
          <w:tab w:val="left" w:pos="1440"/>
          <w:tab w:val="right" w:leader="dot" w:pos="9360"/>
        </w:tabs>
        <w:spacing w:line="240" w:lineRule="atLeast"/>
        <w:ind w:right="900"/>
        <w:jc w:val="left"/>
        <w:rPr>
          <w:b/>
          <w:sz w:val="22"/>
          <w:szCs w:val="22"/>
        </w:rPr>
      </w:pPr>
    </w:p>
    <w:p w:rsidR="00EC6BDB" w:rsidRPr="003F082B" w:rsidRDefault="00EC6BDB" w:rsidP="00EC6BDB">
      <w:pPr>
        <w:tabs>
          <w:tab w:val="left" w:pos="1440"/>
          <w:tab w:val="right" w:leader="dot" w:pos="9360"/>
        </w:tabs>
        <w:spacing w:line="240" w:lineRule="atLeast"/>
        <w:ind w:right="900"/>
        <w:jc w:val="left"/>
        <w:rPr>
          <w:sz w:val="22"/>
          <w:szCs w:val="22"/>
        </w:rPr>
      </w:pPr>
    </w:p>
    <w:p w:rsidR="00EC6BDB" w:rsidRPr="003F082B" w:rsidRDefault="00EC6BDB" w:rsidP="00EC6BDB">
      <w:pPr>
        <w:jc w:val="left"/>
        <w:rPr>
          <w:sz w:val="22"/>
          <w:szCs w:val="22"/>
        </w:rPr>
        <w:sectPr w:rsidR="00EC6BDB" w:rsidRPr="003F082B" w:rsidSect="00AC05FB">
          <w:headerReference w:type="first" r:id="rId10"/>
          <w:footerReference w:type="first" r:id="rId11"/>
          <w:pgSz w:w="12240" w:h="15840"/>
          <w:pgMar w:top="1440" w:right="1440" w:bottom="1440" w:left="1440" w:header="720" w:footer="720" w:gutter="0"/>
          <w:pgNumType w:fmt="lowerRoman" w:start="1"/>
          <w:cols w:space="720"/>
          <w:titlePg/>
          <w:docGrid w:linePitch="360"/>
        </w:sectPr>
      </w:pPr>
    </w:p>
    <w:p w:rsidR="007E32D0" w:rsidRDefault="007E32D0" w:rsidP="007E32D0">
      <w:pPr>
        <w:pStyle w:val="Heading1"/>
        <w:keepNext w:val="0"/>
        <w:numPr>
          <w:ilvl w:val="0"/>
          <w:numId w:val="1"/>
        </w:numPr>
        <w:tabs>
          <w:tab w:val="left" w:pos="540"/>
        </w:tabs>
        <w:spacing w:line="240" w:lineRule="exact"/>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Pr="00F00AE8">
        <w:rPr>
          <w:rFonts w:ascii="Times New Roman" w:hAnsi="Times New Roman" w:cs="Times New Roman"/>
          <w:color w:val="000000" w:themeColor="text1"/>
        </w:rPr>
        <w:t>The Federal Estate Tax—</w:t>
      </w:r>
      <w:r w:rsidRPr="00D53C9E">
        <w:rPr>
          <w:rFonts w:ascii="Times New Roman" w:hAnsi="Times New Roman" w:cs="Times New Roman"/>
          <w:i/>
          <w:color w:val="000000" w:themeColor="text1"/>
        </w:rPr>
        <w:t>What</w:t>
      </w:r>
      <w:r w:rsidRPr="00F00AE8">
        <w:rPr>
          <w:rFonts w:ascii="Times New Roman" w:hAnsi="Times New Roman" w:cs="Times New Roman"/>
          <w:color w:val="000000" w:themeColor="text1"/>
        </w:rPr>
        <w:t xml:space="preserve"> </w:t>
      </w:r>
      <w:r>
        <w:rPr>
          <w:rFonts w:ascii="Times New Roman" w:hAnsi="Times New Roman" w:cs="Times New Roman"/>
          <w:color w:val="000000" w:themeColor="text1"/>
        </w:rPr>
        <w:t>Federal Estate Tax</w:t>
      </w:r>
      <w:r w:rsidRPr="00F00AE8">
        <w:rPr>
          <w:rFonts w:ascii="Times New Roman" w:hAnsi="Times New Roman" w:cs="Times New Roman"/>
          <w:color w:val="000000" w:themeColor="text1"/>
        </w:rPr>
        <w:t>?</w:t>
      </w:r>
    </w:p>
    <w:p w:rsidR="007E32D0" w:rsidRDefault="007E32D0" w:rsidP="00E57705">
      <w:pPr>
        <w:spacing w:line="240" w:lineRule="atLeast"/>
        <w:ind w:left="540" w:hanging="540"/>
        <w:rPr>
          <w:b/>
          <w:sz w:val="22"/>
          <w:szCs w:val="22"/>
        </w:rPr>
      </w:pPr>
    </w:p>
    <w:p w:rsidR="007E32D0" w:rsidRPr="007E32D0" w:rsidRDefault="007E32D0" w:rsidP="007E32D0">
      <w:pPr>
        <w:spacing w:line="240" w:lineRule="atLeast"/>
        <w:ind w:left="540" w:hanging="540"/>
        <w:rPr>
          <w:sz w:val="22"/>
          <w:szCs w:val="22"/>
        </w:rPr>
      </w:pPr>
      <w:r>
        <w:rPr>
          <w:b/>
          <w:sz w:val="22"/>
          <w:szCs w:val="22"/>
        </w:rPr>
        <w:t>A.</w:t>
      </w:r>
      <w:r>
        <w:rPr>
          <w:b/>
          <w:sz w:val="22"/>
          <w:szCs w:val="22"/>
        </w:rPr>
        <w:tab/>
        <w:t>Estate tax exemption increased to $11.</w:t>
      </w:r>
      <w:r w:rsidR="00001E02">
        <w:rPr>
          <w:b/>
          <w:sz w:val="22"/>
          <w:szCs w:val="22"/>
        </w:rPr>
        <w:t>18</w:t>
      </w:r>
      <w:r>
        <w:rPr>
          <w:b/>
          <w:sz w:val="22"/>
          <w:szCs w:val="22"/>
        </w:rPr>
        <w:t xml:space="preserve"> million—for now. </w:t>
      </w:r>
      <w:r w:rsidRPr="007E32D0">
        <w:rPr>
          <w:sz w:val="22"/>
          <w:szCs w:val="22"/>
        </w:rPr>
        <w:t>The Tax Cuts and Jobs Act of 2017</w:t>
      </w:r>
      <w:r>
        <w:rPr>
          <w:sz w:val="22"/>
          <w:szCs w:val="22"/>
        </w:rPr>
        <w:t xml:space="preserve">, signed by President Trump on December 22, 2017, </w:t>
      </w:r>
      <w:r w:rsidR="00A2418D">
        <w:rPr>
          <w:sz w:val="22"/>
          <w:szCs w:val="22"/>
        </w:rPr>
        <w:t>doubled</w:t>
      </w:r>
      <w:r>
        <w:rPr>
          <w:sz w:val="22"/>
          <w:szCs w:val="22"/>
        </w:rPr>
        <w:t xml:space="preserve"> the e</w:t>
      </w:r>
      <w:r w:rsidRPr="007E32D0">
        <w:rPr>
          <w:sz w:val="22"/>
          <w:szCs w:val="22"/>
        </w:rPr>
        <w:t>state</w:t>
      </w:r>
      <w:r>
        <w:rPr>
          <w:sz w:val="22"/>
          <w:szCs w:val="22"/>
        </w:rPr>
        <w:t xml:space="preserve">, gift and generation-skipping transfer </w:t>
      </w:r>
      <w:r w:rsidRPr="007E32D0">
        <w:rPr>
          <w:sz w:val="22"/>
          <w:szCs w:val="22"/>
        </w:rPr>
        <w:t>tax</w:t>
      </w:r>
      <w:r>
        <w:rPr>
          <w:sz w:val="22"/>
          <w:szCs w:val="22"/>
        </w:rPr>
        <w:t xml:space="preserve"> exemption</w:t>
      </w:r>
      <w:r w:rsidR="00A2418D">
        <w:rPr>
          <w:sz w:val="22"/>
          <w:szCs w:val="22"/>
        </w:rPr>
        <w:t>, by increasing the exemption</w:t>
      </w:r>
      <w:r w:rsidRPr="007E32D0">
        <w:rPr>
          <w:sz w:val="22"/>
          <w:szCs w:val="22"/>
        </w:rPr>
        <w:t xml:space="preserve"> </w:t>
      </w:r>
      <w:r>
        <w:rPr>
          <w:sz w:val="22"/>
          <w:szCs w:val="22"/>
        </w:rPr>
        <w:t xml:space="preserve">from </w:t>
      </w:r>
      <w:r w:rsidR="00E15EBC">
        <w:rPr>
          <w:sz w:val="22"/>
          <w:szCs w:val="22"/>
        </w:rPr>
        <w:t xml:space="preserve">its </w:t>
      </w:r>
      <w:r>
        <w:rPr>
          <w:sz w:val="22"/>
          <w:szCs w:val="22"/>
        </w:rPr>
        <w:t xml:space="preserve">$5 million </w:t>
      </w:r>
      <w:r w:rsidR="00E15EBC">
        <w:rPr>
          <w:sz w:val="22"/>
          <w:szCs w:val="22"/>
        </w:rPr>
        <w:t xml:space="preserve">base </w:t>
      </w:r>
      <w:r>
        <w:rPr>
          <w:sz w:val="22"/>
          <w:szCs w:val="22"/>
        </w:rPr>
        <w:t>to $1</w:t>
      </w:r>
      <w:r w:rsidR="00E15EBC">
        <w:rPr>
          <w:sz w:val="22"/>
          <w:szCs w:val="22"/>
        </w:rPr>
        <w:t>0</w:t>
      </w:r>
      <w:r>
        <w:rPr>
          <w:sz w:val="22"/>
          <w:szCs w:val="22"/>
        </w:rPr>
        <w:t xml:space="preserve"> million in 2018—actually</w:t>
      </w:r>
      <w:r w:rsidR="00FA6F0D">
        <w:rPr>
          <w:sz w:val="22"/>
          <w:szCs w:val="22"/>
        </w:rPr>
        <w:t>, $11.</w:t>
      </w:r>
      <w:r w:rsidR="00001E02">
        <w:rPr>
          <w:sz w:val="22"/>
          <w:szCs w:val="22"/>
        </w:rPr>
        <w:t>18</w:t>
      </w:r>
      <w:r w:rsidR="00FA6F0D">
        <w:rPr>
          <w:sz w:val="22"/>
          <w:szCs w:val="22"/>
        </w:rPr>
        <w:t xml:space="preserve"> million resulting from</w:t>
      </w:r>
      <w:r>
        <w:rPr>
          <w:sz w:val="22"/>
          <w:szCs w:val="22"/>
        </w:rPr>
        <w:t xml:space="preserve"> CPI adjustment</w:t>
      </w:r>
      <w:r w:rsidR="00FA6F0D">
        <w:rPr>
          <w:sz w:val="22"/>
          <w:szCs w:val="22"/>
        </w:rPr>
        <w:t>s</w:t>
      </w:r>
      <w:r w:rsidR="00A2418D">
        <w:rPr>
          <w:sz w:val="22"/>
          <w:szCs w:val="22"/>
        </w:rPr>
        <w:t>. E</w:t>
      </w:r>
      <w:r w:rsidRPr="007E32D0">
        <w:rPr>
          <w:sz w:val="22"/>
          <w:szCs w:val="22"/>
        </w:rPr>
        <w:t>ffectively</w:t>
      </w:r>
      <w:r w:rsidR="00A2418D">
        <w:rPr>
          <w:sz w:val="22"/>
          <w:szCs w:val="22"/>
        </w:rPr>
        <w:t>, this</w:t>
      </w:r>
      <w:r w:rsidRPr="007E32D0">
        <w:rPr>
          <w:sz w:val="22"/>
          <w:szCs w:val="22"/>
        </w:rPr>
        <w:t xml:space="preserve"> means $22</w:t>
      </w:r>
      <w:r w:rsidR="005B4D00">
        <w:rPr>
          <w:sz w:val="22"/>
          <w:szCs w:val="22"/>
        </w:rPr>
        <w:t>.</w:t>
      </w:r>
      <w:r w:rsidR="00001E02">
        <w:rPr>
          <w:sz w:val="22"/>
          <w:szCs w:val="22"/>
        </w:rPr>
        <w:t>36</w:t>
      </w:r>
      <w:r w:rsidRPr="007E32D0">
        <w:rPr>
          <w:sz w:val="22"/>
          <w:szCs w:val="22"/>
        </w:rPr>
        <w:t xml:space="preserve"> million in exemption</w:t>
      </w:r>
      <w:r>
        <w:rPr>
          <w:sz w:val="22"/>
          <w:szCs w:val="22"/>
        </w:rPr>
        <w:t>s</w:t>
      </w:r>
      <w:r w:rsidRPr="007E32D0">
        <w:rPr>
          <w:sz w:val="22"/>
          <w:szCs w:val="22"/>
        </w:rPr>
        <w:t xml:space="preserve"> for spouses. </w:t>
      </w:r>
    </w:p>
    <w:p w:rsidR="00165A8E" w:rsidRDefault="00165A8E" w:rsidP="00E57705">
      <w:pPr>
        <w:spacing w:line="240" w:lineRule="exact"/>
        <w:ind w:left="1087" w:hanging="540"/>
        <w:rPr>
          <w:sz w:val="22"/>
          <w:szCs w:val="22"/>
        </w:rPr>
      </w:pPr>
    </w:p>
    <w:p w:rsidR="00E57705" w:rsidRDefault="00E57705" w:rsidP="00E57705">
      <w:pPr>
        <w:spacing w:line="240" w:lineRule="exact"/>
        <w:ind w:left="1087" w:hanging="540"/>
        <w:rPr>
          <w:sz w:val="22"/>
          <w:szCs w:val="22"/>
        </w:rPr>
      </w:pPr>
      <w:r>
        <w:rPr>
          <w:sz w:val="22"/>
          <w:szCs w:val="22"/>
        </w:rPr>
        <w:t>1.</w:t>
      </w:r>
      <w:r>
        <w:rPr>
          <w:sz w:val="22"/>
          <w:szCs w:val="22"/>
        </w:rPr>
        <w:tab/>
      </w:r>
      <w:r>
        <w:rPr>
          <w:b/>
          <w:sz w:val="22"/>
          <w:szCs w:val="22"/>
        </w:rPr>
        <w:t>Preparing and filing estate tax returns is (almost) no longer a part of the practice</w:t>
      </w:r>
      <w:r>
        <w:rPr>
          <w:sz w:val="22"/>
          <w:szCs w:val="22"/>
        </w:rPr>
        <w:t>. A federal estate tax return is not required to be filed unless the value of the decedent’s gross estate plus “adjusted taxable gifts” (</w:t>
      </w:r>
      <w:r w:rsidR="00DF5E43">
        <w:rPr>
          <w:sz w:val="22"/>
          <w:szCs w:val="22"/>
        </w:rPr>
        <w:t>taxable gifts over annual exclusions</w:t>
      </w:r>
      <w:r>
        <w:rPr>
          <w:sz w:val="22"/>
          <w:szCs w:val="22"/>
        </w:rPr>
        <w:t>) exceeds $11</w:t>
      </w:r>
      <w:r w:rsidR="00165A8E">
        <w:rPr>
          <w:sz w:val="22"/>
          <w:szCs w:val="22"/>
        </w:rPr>
        <w:t>.</w:t>
      </w:r>
      <w:r w:rsidR="00F27D09">
        <w:rPr>
          <w:sz w:val="22"/>
          <w:szCs w:val="22"/>
        </w:rPr>
        <w:t>18</w:t>
      </w:r>
      <w:r>
        <w:rPr>
          <w:sz w:val="22"/>
          <w:szCs w:val="22"/>
        </w:rPr>
        <w:t xml:space="preserve"> million—unless a return is filed in order to make the </w:t>
      </w:r>
      <w:r w:rsidR="00DF5E43">
        <w:rPr>
          <w:sz w:val="22"/>
          <w:szCs w:val="22"/>
        </w:rPr>
        <w:t>deceased spouse’s unused exemption (D</w:t>
      </w:r>
      <w:r>
        <w:rPr>
          <w:sz w:val="22"/>
          <w:szCs w:val="22"/>
        </w:rPr>
        <w:t>SUE</w:t>
      </w:r>
      <w:r w:rsidR="00DF5E43">
        <w:rPr>
          <w:sz w:val="22"/>
          <w:szCs w:val="22"/>
        </w:rPr>
        <w:t>)</w:t>
      </w:r>
      <w:r>
        <w:rPr>
          <w:sz w:val="22"/>
          <w:szCs w:val="22"/>
        </w:rPr>
        <w:t xml:space="preserve"> portability election. </w:t>
      </w:r>
    </w:p>
    <w:p w:rsidR="00E57705" w:rsidRDefault="00E57705" w:rsidP="00E57705">
      <w:pPr>
        <w:pStyle w:val="Heading20"/>
        <w:tabs>
          <w:tab w:val="left" w:pos="540"/>
        </w:tabs>
        <w:spacing w:line="240" w:lineRule="exact"/>
        <w:ind w:left="1620" w:hanging="547"/>
      </w:pPr>
    </w:p>
    <w:p w:rsidR="00A9153A" w:rsidRDefault="00165A8E" w:rsidP="00165A8E">
      <w:pPr>
        <w:spacing w:line="240" w:lineRule="exact"/>
        <w:ind w:left="1087" w:hanging="540"/>
        <w:rPr>
          <w:sz w:val="22"/>
          <w:szCs w:val="22"/>
        </w:rPr>
      </w:pPr>
      <w:r>
        <w:rPr>
          <w:sz w:val="22"/>
          <w:szCs w:val="22"/>
        </w:rPr>
        <w:t>2.</w:t>
      </w:r>
      <w:r>
        <w:rPr>
          <w:sz w:val="22"/>
          <w:szCs w:val="22"/>
        </w:rPr>
        <w:tab/>
      </w:r>
      <w:r w:rsidRPr="00165A8E">
        <w:rPr>
          <w:b/>
          <w:sz w:val="22"/>
          <w:szCs w:val="22"/>
        </w:rPr>
        <w:t>Higher exemption will sunset at the e</w:t>
      </w:r>
      <w:r>
        <w:rPr>
          <w:b/>
          <w:sz w:val="22"/>
          <w:szCs w:val="22"/>
        </w:rPr>
        <w:t xml:space="preserve">nd of </w:t>
      </w:r>
      <w:r w:rsidRPr="00165A8E">
        <w:rPr>
          <w:b/>
          <w:sz w:val="22"/>
          <w:szCs w:val="22"/>
        </w:rPr>
        <w:t>2025</w:t>
      </w:r>
      <w:r>
        <w:rPr>
          <w:sz w:val="22"/>
          <w:szCs w:val="22"/>
        </w:rPr>
        <w:t>. Under the TCJA</w:t>
      </w:r>
      <w:r w:rsidR="005A23BC">
        <w:rPr>
          <w:sz w:val="22"/>
          <w:szCs w:val="22"/>
        </w:rPr>
        <w:t>,</w:t>
      </w:r>
      <w:r>
        <w:rPr>
          <w:sz w:val="22"/>
          <w:szCs w:val="22"/>
        </w:rPr>
        <w:t xml:space="preserve"> the higher exemption will continue through 2025. E</w:t>
      </w:r>
      <w:r w:rsidRPr="00165A8E">
        <w:rPr>
          <w:sz w:val="22"/>
          <w:szCs w:val="22"/>
        </w:rPr>
        <w:t>ffective Jan</w:t>
      </w:r>
      <w:r>
        <w:rPr>
          <w:sz w:val="22"/>
          <w:szCs w:val="22"/>
        </w:rPr>
        <w:t>uary</w:t>
      </w:r>
      <w:r w:rsidRPr="00165A8E">
        <w:rPr>
          <w:sz w:val="22"/>
          <w:szCs w:val="22"/>
        </w:rPr>
        <w:t xml:space="preserve"> 1, 2026, the exemption will revert to the former base level of $5 million per person</w:t>
      </w:r>
      <w:r w:rsidR="00A9153A">
        <w:rPr>
          <w:sz w:val="22"/>
          <w:szCs w:val="22"/>
        </w:rPr>
        <w:t xml:space="preserve"> u</w:t>
      </w:r>
      <w:r>
        <w:rPr>
          <w:sz w:val="22"/>
          <w:szCs w:val="22"/>
        </w:rPr>
        <w:t>nless Congress extends the higher exemption</w:t>
      </w:r>
      <w:r w:rsidR="00A9153A">
        <w:rPr>
          <w:sz w:val="22"/>
          <w:szCs w:val="22"/>
        </w:rPr>
        <w:t xml:space="preserve">. </w:t>
      </w:r>
      <w:r w:rsidR="00F63CF3">
        <w:rPr>
          <w:sz w:val="22"/>
          <w:szCs w:val="22"/>
        </w:rPr>
        <w:t>This means that</w:t>
      </w:r>
      <w:r w:rsidR="00A9153A">
        <w:rPr>
          <w:sz w:val="22"/>
          <w:szCs w:val="22"/>
        </w:rPr>
        <w:t xml:space="preserve"> we know what the estate, gift and GST exemption will be for the next eight years</w:t>
      </w:r>
      <w:r w:rsidR="00F63CF3">
        <w:rPr>
          <w:sz w:val="22"/>
          <w:szCs w:val="22"/>
        </w:rPr>
        <w:t>—unless a Democrat</w:t>
      </w:r>
      <w:r>
        <w:rPr>
          <w:sz w:val="22"/>
          <w:szCs w:val="22"/>
        </w:rPr>
        <w:t xml:space="preserve"> Congress reduces the exemption in the meantime</w:t>
      </w:r>
      <w:r w:rsidR="00A9153A">
        <w:rPr>
          <w:sz w:val="22"/>
          <w:szCs w:val="22"/>
        </w:rPr>
        <w:t>. (</w:t>
      </w:r>
      <w:r w:rsidR="006530FD">
        <w:rPr>
          <w:sz w:val="22"/>
          <w:szCs w:val="22"/>
        </w:rPr>
        <w:t>Recall that i</w:t>
      </w:r>
      <w:r w:rsidR="006C080A">
        <w:rPr>
          <w:sz w:val="22"/>
          <w:szCs w:val="22"/>
        </w:rPr>
        <w:t>n 2016</w:t>
      </w:r>
      <w:r w:rsidR="00F63CF3">
        <w:rPr>
          <w:sz w:val="22"/>
          <w:szCs w:val="22"/>
        </w:rPr>
        <w:t>,</w:t>
      </w:r>
      <w:r w:rsidR="006C080A">
        <w:rPr>
          <w:sz w:val="22"/>
          <w:szCs w:val="22"/>
        </w:rPr>
        <w:t xml:space="preserve"> </w:t>
      </w:r>
      <w:r w:rsidR="00A9153A">
        <w:rPr>
          <w:sz w:val="22"/>
          <w:szCs w:val="22"/>
        </w:rPr>
        <w:t>the Obama administration proposed reducing the exemption from $5 million to $3.5 milli</w:t>
      </w:r>
      <w:r w:rsidR="006C080A">
        <w:rPr>
          <w:sz w:val="22"/>
          <w:szCs w:val="22"/>
        </w:rPr>
        <w:t>on.</w:t>
      </w:r>
      <w:r w:rsidR="006530FD">
        <w:rPr>
          <w:sz w:val="22"/>
          <w:szCs w:val="22"/>
        </w:rPr>
        <w:t>)</w:t>
      </w:r>
      <w:r w:rsidR="006C080A">
        <w:rPr>
          <w:sz w:val="22"/>
          <w:szCs w:val="22"/>
        </w:rPr>
        <w:t xml:space="preserve"> </w:t>
      </w:r>
    </w:p>
    <w:p w:rsidR="00A9153A" w:rsidRDefault="00A9153A" w:rsidP="00165A8E">
      <w:pPr>
        <w:spacing w:line="240" w:lineRule="exact"/>
        <w:ind w:left="1087" w:hanging="540"/>
        <w:rPr>
          <w:sz w:val="22"/>
          <w:szCs w:val="22"/>
        </w:rPr>
      </w:pPr>
    </w:p>
    <w:p w:rsidR="00A9153A" w:rsidRDefault="00A9153A" w:rsidP="00A9153A">
      <w:pPr>
        <w:spacing w:line="240" w:lineRule="exact"/>
        <w:ind w:left="1627" w:hanging="540"/>
        <w:rPr>
          <w:sz w:val="22"/>
          <w:szCs w:val="22"/>
        </w:rPr>
      </w:pPr>
      <w:r>
        <w:rPr>
          <w:sz w:val="22"/>
          <w:szCs w:val="22"/>
        </w:rPr>
        <w:t>a.</w:t>
      </w:r>
      <w:r>
        <w:rPr>
          <w:sz w:val="22"/>
          <w:szCs w:val="22"/>
        </w:rPr>
        <w:tab/>
      </w:r>
      <w:r w:rsidR="00262715" w:rsidRPr="00262715">
        <w:rPr>
          <w:b/>
          <w:sz w:val="22"/>
          <w:szCs w:val="22"/>
        </w:rPr>
        <w:t>“It’s déjà vu all over again”</w:t>
      </w:r>
      <w:r w:rsidR="00F63CF3">
        <w:rPr>
          <w:sz w:val="22"/>
          <w:szCs w:val="22"/>
        </w:rPr>
        <w:t xml:space="preserve"> said the noted philosopher, </w:t>
      </w:r>
      <w:r w:rsidR="00262715">
        <w:rPr>
          <w:sz w:val="22"/>
          <w:szCs w:val="22"/>
        </w:rPr>
        <w:t>Yogi Berra (albeit in a different context)</w:t>
      </w:r>
      <w:r w:rsidR="00CC2E3C">
        <w:rPr>
          <w:sz w:val="22"/>
          <w:szCs w:val="22"/>
        </w:rPr>
        <w:t>.</w:t>
      </w:r>
      <w:r w:rsidR="00262715">
        <w:rPr>
          <w:sz w:val="22"/>
          <w:szCs w:val="22"/>
        </w:rPr>
        <w:t xml:space="preserve"> </w:t>
      </w:r>
      <w:r w:rsidRPr="00262715">
        <w:rPr>
          <w:sz w:val="22"/>
          <w:szCs w:val="22"/>
        </w:rPr>
        <w:t>The one constant with respect to transfer taxes has been constant change.</w:t>
      </w:r>
      <w:r w:rsidRPr="00F00AE8">
        <w:rPr>
          <w:sz w:val="22"/>
          <w:szCs w:val="22"/>
        </w:rPr>
        <w:t xml:space="preserve"> </w:t>
      </w:r>
      <w:r w:rsidRPr="00004550">
        <w:rPr>
          <w:sz w:val="22"/>
          <w:szCs w:val="22"/>
        </w:rPr>
        <w:t xml:space="preserve">It all began with the Tax Reform Act of 1976, </w:t>
      </w:r>
      <w:r w:rsidRPr="00F00AE8">
        <w:rPr>
          <w:sz w:val="22"/>
          <w:szCs w:val="22"/>
        </w:rPr>
        <w:t xml:space="preserve">which “unified” the federal estate tax and gift taxes, increased the estate tax exemption from $60,000 to $175,625, introduced the first (mercifully short-lived) version of the generation-skipping transfer tax, repealed (for a few years) the </w:t>
      </w:r>
      <w:r>
        <w:rPr>
          <w:sz w:val="22"/>
          <w:szCs w:val="22"/>
        </w:rPr>
        <w:t xml:space="preserve">“new </w:t>
      </w:r>
      <w:r w:rsidRPr="00F00AE8">
        <w:rPr>
          <w:sz w:val="22"/>
          <w:szCs w:val="22"/>
        </w:rPr>
        <w:t xml:space="preserve">basis </w:t>
      </w:r>
      <w:r>
        <w:rPr>
          <w:sz w:val="22"/>
          <w:szCs w:val="22"/>
        </w:rPr>
        <w:t xml:space="preserve">at death” </w:t>
      </w:r>
      <w:r w:rsidRPr="00F00AE8">
        <w:rPr>
          <w:sz w:val="22"/>
          <w:szCs w:val="22"/>
        </w:rPr>
        <w:t>rule, and made other significant changes (and some insignificant changes—remember the orphan’s deduction?)</w:t>
      </w:r>
      <w:r>
        <w:rPr>
          <w:sz w:val="22"/>
          <w:szCs w:val="22"/>
        </w:rPr>
        <w:t xml:space="preserve">. </w:t>
      </w:r>
      <w:r w:rsidRPr="00F00AE8">
        <w:rPr>
          <w:sz w:val="22"/>
          <w:szCs w:val="22"/>
        </w:rPr>
        <w:t>ERTA 1981 increased the estate tax exemption to $600,000</w:t>
      </w:r>
      <w:r w:rsidR="006506DD">
        <w:rPr>
          <w:sz w:val="22"/>
          <w:szCs w:val="22"/>
        </w:rPr>
        <w:t xml:space="preserve"> (phased in gradually)</w:t>
      </w:r>
      <w:r w:rsidRPr="00F00AE8">
        <w:rPr>
          <w:sz w:val="22"/>
          <w:szCs w:val="22"/>
        </w:rPr>
        <w:t xml:space="preserve">, introduced the unlimited marital deduction, and gave us QTIP trusts. The Tax Reform Act of 1986 gave us the </w:t>
      </w:r>
      <w:r w:rsidR="00270582">
        <w:rPr>
          <w:sz w:val="22"/>
          <w:szCs w:val="22"/>
        </w:rPr>
        <w:t xml:space="preserve">current </w:t>
      </w:r>
      <w:r w:rsidRPr="00F00AE8">
        <w:rPr>
          <w:sz w:val="22"/>
          <w:szCs w:val="22"/>
        </w:rPr>
        <w:t xml:space="preserve">generation-skipping transfer tax. In 1990, we were introduced to the Special Valuation Rules of Chapter 14. EGTRRA 2001 </w:t>
      </w:r>
      <w:r w:rsidR="00270582">
        <w:rPr>
          <w:sz w:val="22"/>
          <w:szCs w:val="22"/>
        </w:rPr>
        <w:t xml:space="preserve">increased the exemption </w:t>
      </w:r>
      <w:r w:rsidR="004C2DCA">
        <w:rPr>
          <w:sz w:val="22"/>
          <w:szCs w:val="22"/>
        </w:rPr>
        <w:t xml:space="preserve">in spurts </w:t>
      </w:r>
      <w:r w:rsidR="00270582">
        <w:rPr>
          <w:sz w:val="22"/>
          <w:szCs w:val="22"/>
        </w:rPr>
        <w:t>($</w:t>
      </w:r>
      <w:r w:rsidR="004C2DCA">
        <w:rPr>
          <w:sz w:val="22"/>
          <w:szCs w:val="22"/>
        </w:rPr>
        <w:t>1</w:t>
      </w:r>
      <w:r w:rsidR="00270582">
        <w:rPr>
          <w:sz w:val="22"/>
          <w:szCs w:val="22"/>
        </w:rPr>
        <w:t xml:space="preserve">,000,000 </w:t>
      </w:r>
      <w:r w:rsidR="004C2DCA">
        <w:rPr>
          <w:sz w:val="22"/>
          <w:szCs w:val="22"/>
        </w:rPr>
        <w:t xml:space="preserve">in 2002 to $3,500,000 in 2009). </w:t>
      </w:r>
      <w:r>
        <w:rPr>
          <w:sz w:val="22"/>
          <w:szCs w:val="22"/>
        </w:rPr>
        <w:t>After an estate-tax-free year in 2010, in 2012 Congress made the exemption “permanent” at $5,000,000 (with annual CPI adjustments).</w:t>
      </w:r>
    </w:p>
    <w:p w:rsidR="00A9153A" w:rsidRDefault="00A9153A" w:rsidP="00A9153A">
      <w:pPr>
        <w:spacing w:line="240" w:lineRule="exact"/>
        <w:ind w:left="1627" w:hanging="540"/>
        <w:rPr>
          <w:sz w:val="22"/>
          <w:szCs w:val="22"/>
        </w:rPr>
      </w:pPr>
    </w:p>
    <w:p w:rsidR="00A9153A" w:rsidRDefault="00E20E37" w:rsidP="00E20E37">
      <w:pPr>
        <w:spacing w:line="240" w:lineRule="exact"/>
        <w:ind w:left="2167" w:hanging="540"/>
        <w:rPr>
          <w:sz w:val="22"/>
          <w:szCs w:val="22"/>
        </w:rPr>
      </w:pPr>
      <w:r>
        <w:rPr>
          <w:sz w:val="22"/>
          <w:szCs w:val="22"/>
        </w:rPr>
        <w:t>1)</w:t>
      </w:r>
      <w:r w:rsidR="00A9153A">
        <w:rPr>
          <w:sz w:val="22"/>
          <w:szCs w:val="22"/>
        </w:rPr>
        <w:tab/>
        <w:t xml:space="preserve">And now </w:t>
      </w:r>
      <w:r w:rsidR="00DF5E43">
        <w:rPr>
          <w:sz w:val="22"/>
          <w:szCs w:val="22"/>
        </w:rPr>
        <w:t xml:space="preserve">we have </w:t>
      </w:r>
      <w:r w:rsidR="00A9153A">
        <w:rPr>
          <w:sz w:val="22"/>
          <w:szCs w:val="22"/>
        </w:rPr>
        <w:t xml:space="preserve">an estate tax exemption that will sunset on </w:t>
      </w:r>
      <w:r w:rsidR="00165A8E" w:rsidRPr="00165A8E">
        <w:rPr>
          <w:sz w:val="22"/>
          <w:szCs w:val="22"/>
        </w:rPr>
        <w:t>Jan</w:t>
      </w:r>
      <w:r w:rsidR="00A9153A">
        <w:rPr>
          <w:sz w:val="22"/>
          <w:szCs w:val="22"/>
        </w:rPr>
        <w:t>uary</w:t>
      </w:r>
      <w:r w:rsidR="00165A8E" w:rsidRPr="00165A8E">
        <w:rPr>
          <w:sz w:val="22"/>
          <w:szCs w:val="22"/>
        </w:rPr>
        <w:t xml:space="preserve"> 1, 2026</w:t>
      </w:r>
      <w:r w:rsidR="00A9153A">
        <w:rPr>
          <w:sz w:val="22"/>
          <w:szCs w:val="22"/>
        </w:rPr>
        <w:t>.</w:t>
      </w:r>
      <w:r w:rsidR="00DF5E43">
        <w:rPr>
          <w:sz w:val="22"/>
          <w:szCs w:val="22"/>
        </w:rPr>
        <w:t xml:space="preserve"> As Yogi Berra also said, “It </w:t>
      </w:r>
      <w:proofErr w:type="spellStart"/>
      <w:r w:rsidR="00DF5E43">
        <w:rPr>
          <w:sz w:val="22"/>
          <w:szCs w:val="22"/>
        </w:rPr>
        <w:t>ain’t</w:t>
      </w:r>
      <w:proofErr w:type="spellEnd"/>
      <w:r w:rsidR="00DF5E43">
        <w:rPr>
          <w:sz w:val="22"/>
          <w:szCs w:val="22"/>
        </w:rPr>
        <w:t xml:space="preserve"> over </w:t>
      </w:r>
      <w:r w:rsidR="007429A9">
        <w:rPr>
          <w:sz w:val="22"/>
          <w:szCs w:val="22"/>
        </w:rPr>
        <w:t>‘</w:t>
      </w:r>
      <w:r w:rsidR="00DF5E43">
        <w:rPr>
          <w:sz w:val="22"/>
          <w:szCs w:val="22"/>
        </w:rPr>
        <w:t>til it’s over.”</w:t>
      </w:r>
    </w:p>
    <w:p w:rsidR="00E20E37" w:rsidRDefault="00E20E37" w:rsidP="00E20E37">
      <w:pPr>
        <w:spacing w:line="240" w:lineRule="exact"/>
        <w:ind w:left="2167" w:hanging="540"/>
        <w:rPr>
          <w:sz w:val="22"/>
          <w:szCs w:val="22"/>
        </w:rPr>
      </w:pPr>
    </w:p>
    <w:p w:rsidR="007429A9" w:rsidRPr="007429A9" w:rsidRDefault="00A00041" w:rsidP="00A00041">
      <w:pPr>
        <w:spacing w:line="240" w:lineRule="exact"/>
        <w:ind w:left="1627" w:hanging="540"/>
        <w:rPr>
          <w:sz w:val="22"/>
          <w:szCs w:val="22"/>
        </w:rPr>
      </w:pPr>
      <w:r>
        <w:rPr>
          <w:sz w:val="22"/>
          <w:szCs w:val="22"/>
        </w:rPr>
        <w:t>b</w:t>
      </w:r>
      <w:r w:rsidR="00E20E37">
        <w:rPr>
          <w:sz w:val="22"/>
          <w:szCs w:val="22"/>
        </w:rPr>
        <w:t>.</w:t>
      </w:r>
      <w:r w:rsidR="00E20E37">
        <w:rPr>
          <w:sz w:val="22"/>
          <w:szCs w:val="22"/>
        </w:rPr>
        <w:tab/>
      </w:r>
      <w:r w:rsidR="00E20E37" w:rsidRPr="00A00041">
        <w:rPr>
          <w:b/>
          <w:sz w:val="22"/>
          <w:szCs w:val="22"/>
        </w:rPr>
        <w:t xml:space="preserve">“Yes, but every </w:t>
      </w:r>
      <w:r w:rsidR="00262715">
        <w:rPr>
          <w:b/>
          <w:sz w:val="22"/>
          <w:szCs w:val="22"/>
        </w:rPr>
        <w:t xml:space="preserve">past </w:t>
      </w:r>
      <w:r w:rsidR="00E20E37" w:rsidRPr="00A00041">
        <w:rPr>
          <w:b/>
          <w:sz w:val="22"/>
          <w:szCs w:val="22"/>
        </w:rPr>
        <w:t xml:space="preserve">change in the exemption has resulted in an </w:t>
      </w:r>
      <w:r w:rsidR="00E20E37" w:rsidRPr="00A2418D">
        <w:rPr>
          <w:b/>
          <w:i/>
          <w:sz w:val="22"/>
          <w:szCs w:val="22"/>
        </w:rPr>
        <w:t>increase</w:t>
      </w:r>
      <w:r w:rsidR="00E20E37" w:rsidRPr="00A00041">
        <w:rPr>
          <w:b/>
          <w:sz w:val="22"/>
          <w:szCs w:val="22"/>
        </w:rPr>
        <w:t xml:space="preserve"> in the deduction</w:t>
      </w:r>
      <w:r w:rsidR="00262715">
        <w:rPr>
          <w:b/>
          <w:sz w:val="22"/>
          <w:szCs w:val="22"/>
        </w:rPr>
        <w:t>!</w:t>
      </w:r>
      <w:r w:rsidR="00E20E37" w:rsidRPr="00A00041">
        <w:rPr>
          <w:b/>
          <w:sz w:val="22"/>
          <w:szCs w:val="22"/>
        </w:rPr>
        <w:t>”</w:t>
      </w:r>
      <w:r w:rsidR="00E20E37" w:rsidRPr="00A00041">
        <w:rPr>
          <w:sz w:val="22"/>
          <w:szCs w:val="22"/>
        </w:rPr>
        <w:t xml:space="preserve"> </w:t>
      </w:r>
      <w:r w:rsidR="00A2418D">
        <w:rPr>
          <w:sz w:val="22"/>
          <w:szCs w:val="22"/>
        </w:rPr>
        <w:t xml:space="preserve">Yeah, sure! </w:t>
      </w:r>
      <w:r w:rsidR="007429A9">
        <w:rPr>
          <w:sz w:val="22"/>
          <w:szCs w:val="22"/>
        </w:rPr>
        <w:t xml:space="preserve">While </w:t>
      </w:r>
      <w:r>
        <w:rPr>
          <w:sz w:val="22"/>
          <w:szCs w:val="22"/>
        </w:rPr>
        <w:t xml:space="preserve">that is </w:t>
      </w:r>
      <w:r w:rsidR="007429A9" w:rsidRPr="007429A9">
        <w:rPr>
          <w:sz w:val="22"/>
          <w:szCs w:val="22"/>
        </w:rPr>
        <w:t xml:space="preserve">certainly true, </w:t>
      </w:r>
      <w:r w:rsidR="00A7468A">
        <w:rPr>
          <w:sz w:val="22"/>
          <w:szCs w:val="22"/>
        </w:rPr>
        <w:t xml:space="preserve">don’t put any money on </w:t>
      </w:r>
      <w:r w:rsidR="007429A9">
        <w:rPr>
          <w:sz w:val="22"/>
          <w:szCs w:val="22"/>
        </w:rPr>
        <w:t xml:space="preserve">this history </w:t>
      </w:r>
      <w:r w:rsidR="00A7468A">
        <w:rPr>
          <w:sz w:val="22"/>
          <w:szCs w:val="22"/>
        </w:rPr>
        <w:t>being</w:t>
      </w:r>
      <w:r w:rsidR="007429A9">
        <w:rPr>
          <w:sz w:val="22"/>
          <w:szCs w:val="22"/>
        </w:rPr>
        <w:t xml:space="preserve"> an a</w:t>
      </w:r>
      <w:r w:rsidR="007429A9" w:rsidRPr="007429A9">
        <w:rPr>
          <w:sz w:val="22"/>
          <w:szCs w:val="22"/>
        </w:rPr>
        <w:t xml:space="preserve">ccurate </w:t>
      </w:r>
      <w:r w:rsidR="007429A9">
        <w:rPr>
          <w:sz w:val="22"/>
          <w:szCs w:val="22"/>
        </w:rPr>
        <w:t>g</w:t>
      </w:r>
      <w:r w:rsidR="007429A9" w:rsidRPr="007429A9">
        <w:rPr>
          <w:sz w:val="22"/>
          <w:szCs w:val="22"/>
        </w:rPr>
        <w:t>uide</w:t>
      </w:r>
      <w:r w:rsidR="007429A9">
        <w:rPr>
          <w:sz w:val="22"/>
          <w:szCs w:val="22"/>
        </w:rPr>
        <w:t xml:space="preserve"> as to </w:t>
      </w:r>
      <w:r>
        <w:rPr>
          <w:sz w:val="22"/>
          <w:szCs w:val="22"/>
        </w:rPr>
        <w:t>where the road will</w:t>
      </w:r>
      <w:r w:rsidR="00A7468A">
        <w:rPr>
          <w:sz w:val="22"/>
          <w:szCs w:val="22"/>
        </w:rPr>
        <w:t xml:space="preserve"> be</w:t>
      </w:r>
      <w:r>
        <w:rPr>
          <w:sz w:val="22"/>
          <w:szCs w:val="22"/>
        </w:rPr>
        <w:t xml:space="preserve"> tak</w:t>
      </w:r>
      <w:r w:rsidR="00A7468A">
        <w:rPr>
          <w:sz w:val="22"/>
          <w:szCs w:val="22"/>
        </w:rPr>
        <w:t xml:space="preserve">ing </w:t>
      </w:r>
      <w:r>
        <w:rPr>
          <w:sz w:val="22"/>
          <w:szCs w:val="22"/>
        </w:rPr>
        <w:t>us</w:t>
      </w:r>
      <w:r w:rsidR="007429A9">
        <w:rPr>
          <w:sz w:val="22"/>
          <w:szCs w:val="22"/>
        </w:rPr>
        <w:t xml:space="preserve">. Yogi Berra </w:t>
      </w:r>
      <w:r w:rsidR="00CC2E3C">
        <w:rPr>
          <w:sz w:val="22"/>
          <w:szCs w:val="22"/>
        </w:rPr>
        <w:t xml:space="preserve">put it well: </w:t>
      </w:r>
      <w:r w:rsidR="007429A9">
        <w:rPr>
          <w:sz w:val="22"/>
          <w:szCs w:val="22"/>
        </w:rPr>
        <w:t>“When you come to a fork in the road, take it.”</w:t>
      </w:r>
    </w:p>
    <w:p w:rsidR="00E20E37" w:rsidRPr="007429A9" w:rsidRDefault="00E20E37" w:rsidP="00A00041">
      <w:pPr>
        <w:spacing w:line="240" w:lineRule="exact"/>
        <w:ind w:left="1627" w:hanging="540"/>
        <w:rPr>
          <w:sz w:val="22"/>
          <w:szCs w:val="22"/>
        </w:rPr>
      </w:pPr>
      <w:r w:rsidRPr="007429A9">
        <w:rPr>
          <w:sz w:val="22"/>
          <w:szCs w:val="22"/>
        </w:rPr>
        <w:t xml:space="preserve"> </w:t>
      </w:r>
      <w:r w:rsidRPr="007429A9">
        <w:rPr>
          <w:sz w:val="22"/>
          <w:szCs w:val="22"/>
        </w:rPr>
        <w:tab/>
      </w:r>
    </w:p>
    <w:p w:rsidR="006530FD" w:rsidRDefault="00A00041" w:rsidP="00E20E37">
      <w:pPr>
        <w:spacing w:line="240" w:lineRule="exact"/>
        <w:ind w:left="1087" w:hanging="540"/>
        <w:rPr>
          <w:sz w:val="22"/>
          <w:szCs w:val="22"/>
        </w:rPr>
      </w:pPr>
      <w:r>
        <w:rPr>
          <w:sz w:val="22"/>
          <w:szCs w:val="22"/>
        </w:rPr>
        <w:t>3</w:t>
      </w:r>
      <w:r w:rsidR="00E20E37">
        <w:rPr>
          <w:sz w:val="22"/>
          <w:szCs w:val="22"/>
        </w:rPr>
        <w:t>.</w:t>
      </w:r>
      <w:r w:rsidR="00E20E37">
        <w:rPr>
          <w:sz w:val="22"/>
          <w:szCs w:val="22"/>
        </w:rPr>
        <w:tab/>
      </w:r>
      <w:r w:rsidR="00A2418D">
        <w:rPr>
          <w:b/>
          <w:sz w:val="22"/>
          <w:szCs w:val="22"/>
        </w:rPr>
        <w:t>Congress did not merely d</w:t>
      </w:r>
      <w:r>
        <w:rPr>
          <w:b/>
          <w:sz w:val="22"/>
          <w:szCs w:val="22"/>
        </w:rPr>
        <w:t>oubl</w:t>
      </w:r>
      <w:r w:rsidR="00A2418D">
        <w:rPr>
          <w:b/>
          <w:sz w:val="22"/>
          <w:szCs w:val="22"/>
        </w:rPr>
        <w:t>e</w:t>
      </w:r>
      <w:r>
        <w:rPr>
          <w:b/>
          <w:sz w:val="22"/>
          <w:szCs w:val="22"/>
        </w:rPr>
        <w:t xml:space="preserve"> the</w:t>
      </w:r>
      <w:r w:rsidR="00E20E37" w:rsidRPr="00165A8E">
        <w:rPr>
          <w:b/>
          <w:sz w:val="22"/>
          <w:szCs w:val="22"/>
        </w:rPr>
        <w:t xml:space="preserve"> exemption</w:t>
      </w:r>
      <w:r w:rsidR="002D4D64">
        <w:rPr>
          <w:b/>
          <w:sz w:val="22"/>
          <w:szCs w:val="22"/>
        </w:rPr>
        <w:t xml:space="preserve">; it </w:t>
      </w:r>
      <w:r w:rsidR="00F63CF3">
        <w:rPr>
          <w:b/>
          <w:sz w:val="22"/>
          <w:szCs w:val="22"/>
        </w:rPr>
        <w:t>generated a</w:t>
      </w:r>
      <w:r w:rsidR="00F63CF3" w:rsidRPr="00F63CF3">
        <w:rPr>
          <w:b/>
          <w:i/>
          <w:sz w:val="22"/>
          <w:szCs w:val="22"/>
        </w:rPr>
        <w:t xml:space="preserve"> S</w:t>
      </w:r>
      <w:r w:rsidR="00A2418D">
        <w:rPr>
          <w:b/>
          <w:i/>
          <w:sz w:val="22"/>
          <w:szCs w:val="22"/>
        </w:rPr>
        <w:t>EISMIC SHIFT IN THE ESTATE PLANNING PRACTICE!</w:t>
      </w:r>
      <w:r w:rsidR="00E20E37">
        <w:rPr>
          <w:sz w:val="22"/>
          <w:szCs w:val="22"/>
        </w:rPr>
        <w:t xml:space="preserve"> </w:t>
      </w:r>
      <w:r w:rsidR="00262715">
        <w:rPr>
          <w:sz w:val="22"/>
          <w:szCs w:val="22"/>
        </w:rPr>
        <w:t>T</w:t>
      </w:r>
      <w:r>
        <w:rPr>
          <w:sz w:val="22"/>
          <w:szCs w:val="22"/>
        </w:rPr>
        <w:t xml:space="preserve">he Tax Reform Act of 1976 </w:t>
      </w:r>
      <w:r w:rsidRPr="00A7468A">
        <w:rPr>
          <w:b/>
          <w:i/>
          <w:sz w:val="22"/>
          <w:szCs w:val="22"/>
        </w:rPr>
        <w:t xml:space="preserve">tripled </w:t>
      </w:r>
      <w:r>
        <w:rPr>
          <w:sz w:val="22"/>
          <w:szCs w:val="22"/>
        </w:rPr>
        <w:t>the estate and gift tax exemption, from $60,000 to $176,52</w:t>
      </w:r>
      <w:r w:rsidR="00A7468A">
        <w:rPr>
          <w:sz w:val="22"/>
          <w:szCs w:val="22"/>
        </w:rPr>
        <w:t>5</w:t>
      </w:r>
      <w:r w:rsidR="00A2418D">
        <w:rPr>
          <w:sz w:val="22"/>
          <w:szCs w:val="22"/>
        </w:rPr>
        <w:t xml:space="preserve">. In response to the specific provisions </w:t>
      </w:r>
      <w:r w:rsidR="00262715">
        <w:rPr>
          <w:sz w:val="22"/>
          <w:szCs w:val="22"/>
        </w:rPr>
        <w:t>i</w:t>
      </w:r>
      <w:r w:rsidR="00A2418D">
        <w:rPr>
          <w:sz w:val="22"/>
          <w:szCs w:val="22"/>
        </w:rPr>
        <w:t xml:space="preserve">n the 1976 Act, </w:t>
      </w:r>
      <w:r w:rsidR="008C6195">
        <w:rPr>
          <w:sz w:val="22"/>
          <w:szCs w:val="22"/>
        </w:rPr>
        <w:t>new</w:t>
      </w:r>
      <w:r w:rsidR="00A2418D">
        <w:rPr>
          <w:sz w:val="22"/>
          <w:szCs w:val="22"/>
        </w:rPr>
        <w:t xml:space="preserve"> estate planning tools and techniques of course were developed</w:t>
      </w:r>
      <w:r>
        <w:rPr>
          <w:sz w:val="22"/>
          <w:szCs w:val="22"/>
        </w:rPr>
        <w:t xml:space="preserve">—but </w:t>
      </w:r>
      <w:r w:rsidR="00CC2E3C">
        <w:rPr>
          <w:sz w:val="22"/>
          <w:szCs w:val="22"/>
        </w:rPr>
        <w:t xml:space="preserve">tripling </w:t>
      </w:r>
      <w:r>
        <w:rPr>
          <w:sz w:val="22"/>
          <w:szCs w:val="22"/>
        </w:rPr>
        <w:t>th</w:t>
      </w:r>
      <w:r w:rsidR="00A2418D">
        <w:rPr>
          <w:sz w:val="22"/>
          <w:szCs w:val="22"/>
        </w:rPr>
        <w:t>e</w:t>
      </w:r>
      <w:r>
        <w:rPr>
          <w:sz w:val="22"/>
          <w:szCs w:val="22"/>
        </w:rPr>
        <w:t xml:space="preserve"> </w:t>
      </w:r>
      <w:r w:rsidR="006C080A">
        <w:rPr>
          <w:sz w:val="22"/>
          <w:szCs w:val="22"/>
        </w:rPr>
        <w:t xml:space="preserve"> </w:t>
      </w:r>
      <w:r w:rsidR="00A2418D">
        <w:rPr>
          <w:sz w:val="22"/>
          <w:szCs w:val="22"/>
        </w:rPr>
        <w:t xml:space="preserve">exemption </w:t>
      </w:r>
      <w:r>
        <w:rPr>
          <w:sz w:val="22"/>
          <w:szCs w:val="22"/>
        </w:rPr>
        <w:t xml:space="preserve">did not result in fundamental changes in the estate practice. </w:t>
      </w:r>
      <w:r w:rsidR="00A7468A">
        <w:rPr>
          <w:sz w:val="22"/>
          <w:szCs w:val="22"/>
        </w:rPr>
        <w:t xml:space="preserve">For many clients, deferral of the estate tax (if not partial or total elimination of the tax) </w:t>
      </w:r>
      <w:r w:rsidR="00262715">
        <w:rPr>
          <w:sz w:val="22"/>
          <w:szCs w:val="22"/>
        </w:rPr>
        <w:t>remained</w:t>
      </w:r>
      <w:r w:rsidR="00A7468A">
        <w:rPr>
          <w:sz w:val="22"/>
          <w:szCs w:val="22"/>
        </w:rPr>
        <w:t xml:space="preserve"> a factor in estate planning decisions. The same wa</w:t>
      </w:r>
      <w:r>
        <w:rPr>
          <w:sz w:val="22"/>
          <w:szCs w:val="22"/>
        </w:rPr>
        <w:t xml:space="preserve">s true of the 1981 Tax Act, which </w:t>
      </w:r>
      <w:r w:rsidR="00A7468A">
        <w:rPr>
          <w:sz w:val="22"/>
          <w:szCs w:val="22"/>
        </w:rPr>
        <w:t xml:space="preserve">also </w:t>
      </w:r>
      <w:r w:rsidRPr="00CC2E3C">
        <w:rPr>
          <w:b/>
          <w:i/>
          <w:sz w:val="22"/>
          <w:szCs w:val="22"/>
        </w:rPr>
        <w:t>tripled</w:t>
      </w:r>
      <w:r>
        <w:rPr>
          <w:sz w:val="22"/>
          <w:szCs w:val="22"/>
        </w:rPr>
        <w:t xml:space="preserve"> the exemption (to $600,000), and EGTRRA 2001</w:t>
      </w:r>
      <w:r w:rsidR="00CC2E3C">
        <w:rPr>
          <w:sz w:val="22"/>
          <w:szCs w:val="22"/>
        </w:rPr>
        <w:t>,</w:t>
      </w:r>
      <w:r>
        <w:rPr>
          <w:sz w:val="22"/>
          <w:szCs w:val="22"/>
        </w:rPr>
        <w:t xml:space="preserve"> which </w:t>
      </w:r>
      <w:r w:rsidR="004C2DCA" w:rsidRPr="00E47D48">
        <w:rPr>
          <w:b/>
          <w:i/>
          <w:sz w:val="22"/>
          <w:szCs w:val="22"/>
        </w:rPr>
        <w:t>quintupled</w:t>
      </w:r>
      <w:r>
        <w:rPr>
          <w:sz w:val="22"/>
          <w:szCs w:val="22"/>
        </w:rPr>
        <w:t xml:space="preserve"> the exemption (from $</w:t>
      </w:r>
      <w:r w:rsidR="00E47D48">
        <w:rPr>
          <w:sz w:val="22"/>
          <w:szCs w:val="22"/>
        </w:rPr>
        <w:t xml:space="preserve">675,000 in 2001 </w:t>
      </w:r>
      <w:r w:rsidR="00E47D48">
        <w:rPr>
          <w:sz w:val="22"/>
          <w:szCs w:val="22"/>
        </w:rPr>
        <w:lastRenderedPageBreak/>
        <w:t>to (after spurts)</w:t>
      </w:r>
      <w:r>
        <w:rPr>
          <w:sz w:val="22"/>
          <w:szCs w:val="22"/>
        </w:rPr>
        <w:t xml:space="preserve"> $3,500,000</w:t>
      </w:r>
      <w:r w:rsidR="00E47D48">
        <w:rPr>
          <w:sz w:val="22"/>
          <w:szCs w:val="22"/>
        </w:rPr>
        <w:t xml:space="preserve"> in 2009</w:t>
      </w:r>
      <w:r w:rsidR="00A2418D">
        <w:rPr>
          <w:sz w:val="22"/>
          <w:szCs w:val="22"/>
        </w:rPr>
        <w:t>. A</w:t>
      </w:r>
      <w:r w:rsidR="00A7468A">
        <w:rPr>
          <w:sz w:val="22"/>
          <w:szCs w:val="22"/>
        </w:rPr>
        <w:t>fter each</w:t>
      </w:r>
      <w:r w:rsidR="00A2418D">
        <w:rPr>
          <w:sz w:val="22"/>
          <w:szCs w:val="22"/>
        </w:rPr>
        <w:t xml:space="preserve"> of those Acts</w:t>
      </w:r>
      <w:r w:rsidR="00A7468A">
        <w:rPr>
          <w:sz w:val="22"/>
          <w:szCs w:val="22"/>
        </w:rPr>
        <w:t xml:space="preserve">, </w:t>
      </w:r>
      <w:r w:rsidR="00E47D48">
        <w:rPr>
          <w:sz w:val="22"/>
          <w:szCs w:val="22"/>
        </w:rPr>
        <w:t>many</w:t>
      </w:r>
      <w:r w:rsidR="00A7468A">
        <w:rPr>
          <w:sz w:val="22"/>
          <w:szCs w:val="22"/>
        </w:rPr>
        <w:t xml:space="preserve"> clients continued to have reason to be concerned about the estate tax (and the gift tax, and the generation-skipping transfer tax).</w:t>
      </w:r>
      <w:r w:rsidR="008A08B5">
        <w:rPr>
          <w:sz w:val="22"/>
          <w:szCs w:val="22"/>
        </w:rPr>
        <w:t xml:space="preserve"> </w:t>
      </w:r>
    </w:p>
    <w:p w:rsidR="00A7468A" w:rsidRDefault="00A7468A" w:rsidP="00E20E37">
      <w:pPr>
        <w:spacing w:line="240" w:lineRule="exact"/>
        <w:ind w:left="1087" w:hanging="540"/>
        <w:rPr>
          <w:sz w:val="22"/>
          <w:szCs w:val="22"/>
        </w:rPr>
      </w:pPr>
    </w:p>
    <w:p w:rsidR="00035782" w:rsidRDefault="00035782" w:rsidP="00035782">
      <w:pPr>
        <w:spacing w:line="240" w:lineRule="exact"/>
        <w:ind w:left="1627" w:hanging="540"/>
        <w:rPr>
          <w:sz w:val="22"/>
          <w:szCs w:val="22"/>
        </w:rPr>
      </w:pPr>
      <w:r>
        <w:rPr>
          <w:sz w:val="22"/>
          <w:szCs w:val="22"/>
        </w:rPr>
        <w:t>a.</w:t>
      </w:r>
      <w:r>
        <w:rPr>
          <w:sz w:val="22"/>
          <w:szCs w:val="22"/>
        </w:rPr>
        <w:tab/>
      </w:r>
      <w:r>
        <w:rPr>
          <w:b/>
          <w:sz w:val="22"/>
          <w:szCs w:val="22"/>
        </w:rPr>
        <w:t xml:space="preserve">Estate planning concern </w:t>
      </w:r>
      <w:r w:rsidR="008C6195">
        <w:rPr>
          <w:b/>
          <w:sz w:val="22"/>
          <w:szCs w:val="22"/>
        </w:rPr>
        <w:t>in all of those earlier years: e</w:t>
      </w:r>
      <w:r>
        <w:rPr>
          <w:b/>
          <w:sz w:val="22"/>
          <w:szCs w:val="22"/>
        </w:rPr>
        <w:t>liminate (or at least reduce) the estate tax</w:t>
      </w:r>
      <w:r>
        <w:rPr>
          <w:sz w:val="22"/>
          <w:szCs w:val="22"/>
        </w:rPr>
        <w:t>. Throughout all of th</w:t>
      </w:r>
      <w:r w:rsidR="008C6195">
        <w:rPr>
          <w:sz w:val="22"/>
          <w:szCs w:val="22"/>
        </w:rPr>
        <w:t>o</w:t>
      </w:r>
      <w:r>
        <w:rPr>
          <w:sz w:val="22"/>
          <w:szCs w:val="22"/>
        </w:rPr>
        <w:t>se years, with estate tax rates as high as 50 or 55 percent, for many clients a planning objective was to reduce if not wholly eliminate estate taxes on the death of the client and his or her spouse. This could be accomplished through the use of not just marital deduction formula clauses and bypass trusts, but some rather sophisticated planning</w:t>
      </w:r>
      <w:r w:rsidR="00CC2E3C">
        <w:rPr>
          <w:sz w:val="22"/>
          <w:szCs w:val="22"/>
        </w:rPr>
        <w:t xml:space="preserve"> techniques</w:t>
      </w:r>
      <w:r w:rsidR="008C6195">
        <w:rPr>
          <w:sz w:val="22"/>
          <w:szCs w:val="22"/>
        </w:rPr>
        <w:t>,</w:t>
      </w:r>
      <w:r w:rsidR="00CC2E3C">
        <w:rPr>
          <w:sz w:val="22"/>
          <w:szCs w:val="22"/>
        </w:rPr>
        <w:t xml:space="preserve"> including discount planning</w:t>
      </w:r>
      <w:r>
        <w:rPr>
          <w:sz w:val="22"/>
          <w:szCs w:val="22"/>
        </w:rPr>
        <w:t xml:space="preserve">, all designed to reduce the value of the client’s and the surviving spouse’s gross estate for estate tax purposes. </w:t>
      </w:r>
    </w:p>
    <w:p w:rsidR="00035782" w:rsidRDefault="00035782" w:rsidP="00035782">
      <w:pPr>
        <w:pStyle w:val="Heading20"/>
        <w:tabs>
          <w:tab w:val="left" w:pos="540"/>
        </w:tabs>
        <w:spacing w:line="240" w:lineRule="exact"/>
        <w:ind w:left="1620" w:hanging="547"/>
      </w:pPr>
    </w:p>
    <w:p w:rsidR="00A7468A" w:rsidRDefault="00494E59" w:rsidP="002D4D64">
      <w:pPr>
        <w:spacing w:line="240" w:lineRule="exact"/>
        <w:ind w:left="1627" w:hanging="540"/>
        <w:rPr>
          <w:sz w:val="22"/>
          <w:szCs w:val="22"/>
        </w:rPr>
      </w:pPr>
      <w:r>
        <w:rPr>
          <w:sz w:val="22"/>
          <w:szCs w:val="22"/>
        </w:rPr>
        <w:t>b</w:t>
      </w:r>
      <w:r w:rsidR="00A7468A">
        <w:rPr>
          <w:sz w:val="22"/>
          <w:szCs w:val="22"/>
        </w:rPr>
        <w:t>.</w:t>
      </w:r>
      <w:r w:rsidR="00A7468A">
        <w:rPr>
          <w:sz w:val="22"/>
          <w:szCs w:val="22"/>
        </w:rPr>
        <w:tab/>
      </w:r>
      <w:r w:rsidR="006C080A">
        <w:rPr>
          <w:b/>
          <w:sz w:val="22"/>
          <w:szCs w:val="22"/>
        </w:rPr>
        <w:t xml:space="preserve">Under the new law, </w:t>
      </w:r>
      <w:r w:rsidR="00270582">
        <w:rPr>
          <w:b/>
          <w:sz w:val="22"/>
          <w:szCs w:val="22"/>
        </w:rPr>
        <w:t>the vast majority</w:t>
      </w:r>
      <w:r w:rsidR="002D4D64" w:rsidRPr="002D4D64">
        <w:rPr>
          <w:b/>
          <w:sz w:val="22"/>
          <w:szCs w:val="22"/>
        </w:rPr>
        <w:t xml:space="preserve"> of our clients</w:t>
      </w:r>
      <w:r w:rsidR="002D4D64">
        <w:rPr>
          <w:sz w:val="22"/>
          <w:szCs w:val="22"/>
        </w:rPr>
        <w:t xml:space="preserve"> </w:t>
      </w:r>
      <w:r w:rsidR="002D4D64" w:rsidRPr="002D4D64">
        <w:rPr>
          <w:b/>
          <w:sz w:val="22"/>
          <w:szCs w:val="22"/>
        </w:rPr>
        <w:t xml:space="preserve">have </w:t>
      </w:r>
      <w:r w:rsidR="00270582">
        <w:rPr>
          <w:b/>
          <w:sz w:val="22"/>
          <w:szCs w:val="22"/>
        </w:rPr>
        <w:t>NO</w:t>
      </w:r>
      <w:r w:rsidR="002D4D64" w:rsidRPr="002D4D64">
        <w:rPr>
          <w:b/>
          <w:sz w:val="22"/>
          <w:szCs w:val="22"/>
        </w:rPr>
        <w:t xml:space="preserve"> concern about the estate tax</w:t>
      </w:r>
      <w:r w:rsidR="002D4D64">
        <w:rPr>
          <w:b/>
          <w:sz w:val="22"/>
          <w:szCs w:val="22"/>
        </w:rPr>
        <w:t>!</w:t>
      </w:r>
      <w:r w:rsidR="002D4D64">
        <w:rPr>
          <w:sz w:val="22"/>
          <w:szCs w:val="22"/>
        </w:rPr>
        <w:t xml:space="preserve"> </w:t>
      </w:r>
      <w:r w:rsidR="0067447D">
        <w:rPr>
          <w:sz w:val="22"/>
          <w:szCs w:val="22"/>
        </w:rPr>
        <w:t>After</w:t>
      </w:r>
      <w:r w:rsidR="002D4D64">
        <w:rPr>
          <w:sz w:val="22"/>
          <w:szCs w:val="22"/>
        </w:rPr>
        <w:t xml:space="preserve"> Congress increased the exemption to $5</w:t>
      </w:r>
      <w:r w:rsidR="00262715">
        <w:rPr>
          <w:sz w:val="22"/>
          <w:szCs w:val="22"/>
        </w:rPr>
        <w:t xml:space="preserve"> million</w:t>
      </w:r>
      <w:r w:rsidR="002D4D64">
        <w:rPr>
          <w:sz w:val="22"/>
          <w:szCs w:val="22"/>
        </w:rPr>
        <w:t xml:space="preserve"> in 2011, in CLE speeches I </w:t>
      </w:r>
      <w:r w:rsidR="0067447D">
        <w:rPr>
          <w:sz w:val="22"/>
          <w:szCs w:val="22"/>
        </w:rPr>
        <w:t xml:space="preserve">sometimes </w:t>
      </w:r>
      <w:r w:rsidR="002D4D64">
        <w:rPr>
          <w:sz w:val="22"/>
          <w:szCs w:val="22"/>
        </w:rPr>
        <w:t>referred to “mere millionaires” who no longer had estate tax</w:t>
      </w:r>
      <w:r w:rsidR="006C080A">
        <w:rPr>
          <w:sz w:val="22"/>
          <w:szCs w:val="22"/>
        </w:rPr>
        <w:t xml:space="preserve"> concerns</w:t>
      </w:r>
      <w:r w:rsidR="002D4D64">
        <w:rPr>
          <w:sz w:val="22"/>
          <w:szCs w:val="22"/>
        </w:rPr>
        <w:t>—individuals with estates of $3 million to $5 million, or couples with estates of</w:t>
      </w:r>
      <w:r w:rsidR="008A08B5">
        <w:rPr>
          <w:sz w:val="22"/>
          <w:szCs w:val="22"/>
        </w:rPr>
        <w:t xml:space="preserve"> </w:t>
      </w:r>
      <w:r w:rsidR="002D4D64">
        <w:rPr>
          <w:sz w:val="22"/>
          <w:szCs w:val="22"/>
        </w:rPr>
        <w:t xml:space="preserve">$8 million to $10 million. </w:t>
      </w:r>
      <w:r w:rsidR="006C080A">
        <w:rPr>
          <w:sz w:val="22"/>
          <w:szCs w:val="22"/>
        </w:rPr>
        <w:t>F</w:t>
      </w:r>
      <w:r w:rsidR="002D4D64">
        <w:rPr>
          <w:sz w:val="22"/>
          <w:szCs w:val="22"/>
        </w:rPr>
        <w:t>or the foreseeable future</w:t>
      </w:r>
      <w:r w:rsidR="0067447D">
        <w:rPr>
          <w:sz w:val="22"/>
          <w:szCs w:val="22"/>
        </w:rPr>
        <w:t xml:space="preserve">—or </w:t>
      </w:r>
      <w:r w:rsidR="002D4D64">
        <w:rPr>
          <w:sz w:val="22"/>
          <w:szCs w:val="22"/>
        </w:rPr>
        <w:t>at least the immediate future, the class of “mere millionaires</w:t>
      </w:r>
      <w:r w:rsidR="0067447D">
        <w:rPr>
          <w:sz w:val="22"/>
          <w:szCs w:val="22"/>
        </w:rPr>
        <w:t>”</w:t>
      </w:r>
      <w:r w:rsidR="002D4D64">
        <w:rPr>
          <w:sz w:val="22"/>
          <w:szCs w:val="22"/>
        </w:rPr>
        <w:t xml:space="preserve"> includes individuals with </w:t>
      </w:r>
      <w:r w:rsidR="0067447D">
        <w:rPr>
          <w:sz w:val="22"/>
          <w:szCs w:val="22"/>
        </w:rPr>
        <w:t xml:space="preserve">estates of </w:t>
      </w:r>
      <w:r w:rsidR="002D4D64">
        <w:rPr>
          <w:sz w:val="22"/>
          <w:szCs w:val="22"/>
        </w:rPr>
        <w:t>“only”</w:t>
      </w:r>
      <w:r w:rsidR="0067447D">
        <w:rPr>
          <w:sz w:val="22"/>
          <w:szCs w:val="22"/>
        </w:rPr>
        <w:t xml:space="preserve"> </w:t>
      </w:r>
      <w:r w:rsidR="002D4D64">
        <w:rPr>
          <w:sz w:val="22"/>
          <w:szCs w:val="22"/>
        </w:rPr>
        <w:t xml:space="preserve">$8 million to $10 million, or couples with </w:t>
      </w:r>
      <w:r w:rsidR="0067447D">
        <w:rPr>
          <w:sz w:val="22"/>
          <w:szCs w:val="22"/>
        </w:rPr>
        <w:t xml:space="preserve">a “mere” </w:t>
      </w:r>
      <w:r w:rsidR="002D4D64">
        <w:rPr>
          <w:sz w:val="22"/>
          <w:szCs w:val="22"/>
        </w:rPr>
        <w:t xml:space="preserve">$15 million to $20 million </w:t>
      </w:r>
      <w:r w:rsidR="0067447D">
        <w:rPr>
          <w:sz w:val="22"/>
          <w:szCs w:val="22"/>
        </w:rPr>
        <w:t>of accumulated wealth.</w:t>
      </w:r>
    </w:p>
    <w:p w:rsidR="00262715" w:rsidRDefault="00262715" w:rsidP="002D4D64">
      <w:pPr>
        <w:spacing w:line="240" w:lineRule="exact"/>
        <w:ind w:left="1627" w:hanging="540"/>
        <w:rPr>
          <w:sz w:val="22"/>
          <w:szCs w:val="22"/>
        </w:rPr>
      </w:pPr>
    </w:p>
    <w:p w:rsidR="00CC2E3C" w:rsidRDefault="00262715" w:rsidP="00262715">
      <w:pPr>
        <w:spacing w:line="240" w:lineRule="exact"/>
        <w:ind w:left="1627" w:hanging="540"/>
        <w:rPr>
          <w:sz w:val="22"/>
          <w:szCs w:val="22"/>
        </w:rPr>
      </w:pPr>
      <w:r>
        <w:rPr>
          <w:sz w:val="22"/>
          <w:szCs w:val="22"/>
        </w:rPr>
        <w:t>c.</w:t>
      </w:r>
      <w:r>
        <w:rPr>
          <w:sz w:val="22"/>
          <w:szCs w:val="22"/>
        </w:rPr>
        <w:tab/>
      </w:r>
      <w:r w:rsidRPr="00262715">
        <w:rPr>
          <w:b/>
          <w:sz w:val="22"/>
          <w:szCs w:val="22"/>
        </w:rPr>
        <w:t>An inclusion in the decedent’s gross estate used to be a matter of concern</w:t>
      </w:r>
      <w:r w:rsidR="006530FD">
        <w:rPr>
          <w:b/>
          <w:sz w:val="22"/>
          <w:szCs w:val="22"/>
        </w:rPr>
        <w:t xml:space="preserve"> …</w:t>
      </w:r>
      <w:r w:rsidRPr="00262715">
        <w:rPr>
          <w:b/>
          <w:sz w:val="22"/>
          <w:szCs w:val="22"/>
        </w:rPr>
        <w:t xml:space="preserve"> but now </w:t>
      </w:r>
      <w:r w:rsidR="006530FD">
        <w:rPr>
          <w:b/>
          <w:sz w:val="22"/>
          <w:szCs w:val="22"/>
        </w:rPr>
        <w:t>a gross estate inclusion</w:t>
      </w:r>
      <w:r w:rsidRPr="00262715">
        <w:rPr>
          <w:b/>
          <w:sz w:val="22"/>
          <w:szCs w:val="22"/>
        </w:rPr>
        <w:t xml:space="preserve"> is our </w:t>
      </w:r>
      <w:r w:rsidRPr="00262715">
        <w:rPr>
          <w:b/>
          <w:i/>
          <w:sz w:val="22"/>
          <w:szCs w:val="22"/>
        </w:rPr>
        <w:t>friend</w:t>
      </w:r>
      <w:r>
        <w:rPr>
          <w:sz w:val="22"/>
          <w:szCs w:val="22"/>
        </w:rPr>
        <w:t xml:space="preserve">. To </w:t>
      </w:r>
      <w:r w:rsidR="006C080A">
        <w:rPr>
          <w:sz w:val="22"/>
          <w:szCs w:val="22"/>
        </w:rPr>
        <w:t xml:space="preserve">the extent </w:t>
      </w:r>
      <w:r w:rsidR="008A08B5">
        <w:rPr>
          <w:sz w:val="22"/>
          <w:szCs w:val="22"/>
        </w:rPr>
        <w:t xml:space="preserve">that </w:t>
      </w:r>
      <w:r w:rsidR="006C080A">
        <w:rPr>
          <w:sz w:val="22"/>
          <w:szCs w:val="22"/>
        </w:rPr>
        <w:t xml:space="preserve">taxes </w:t>
      </w:r>
      <w:r w:rsidR="006530FD">
        <w:rPr>
          <w:sz w:val="22"/>
          <w:szCs w:val="22"/>
        </w:rPr>
        <w:t>affect</w:t>
      </w:r>
      <w:r w:rsidR="006C080A">
        <w:rPr>
          <w:sz w:val="22"/>
          <w:szCs w:val="22"/>
        </w:rPr>
        <w:t xml:space="preserve"> estate planning decisions, the concern will be securing, for the client’s beneficiaries, </w:t>
      </w:r>
      <w:r w:rsidR="006C080A" w:rsidRPr="008A08B5">
        <w:rPr>
          <w:b/>
          <w:i/>
          <w:sz w:val="22"/>
          <w:szCs w:val="22"/>
        </w:rPr>
        <w:t xml:space="preserve">the benefits of the </w:t>
      </w:r>
      <w:r w:rsidR="008A08B5">
        <w:rPr>
          <w:b/>
          <w:i/>
          <w:sz w:val="22"/>
          <w:szCs w:val="22"/>
        </w:rPr>
        <w:t>“</w:t>
      </w:r>
      <w:r w:rsidR="006C080A" w:rsidRPr="008A08B5">
        <w:rPr>
          <w:b/>
          <w:i/>
          <w:sz w:val="22"/>
          <w:szCs w:val="22"/>
        </w:rPr>
        <w:t>new basis at death</w:t>
      </w:r>
      <w:r w:rsidR="008A08B5">
        <w:rPr>
          <w:b/>
          <w:i/>
          <w:sz w:val="22"/>
          <w:szCs w:val="22"/>
        </w:rPr>
        <w:t>”</w:t>
      </w:r>
      <w:r w:rsidR="006C080A" w:rsidRPr="008A08B5">
        <w:rPr>
          <w:b/>
          <w:i/>
          <w:sz w:val="22"/>
          <w:szCs w:val="22"/>
        </w:rPr>
        <w:t xml:space="preserve"> rule</w:t>
      </w:r>
      <w:r w:rsidR="006C080A">
        <w:rPr>
          <w:sz w:val="22"/>
          <w:szCs w:val="22"/>
        </w:rPr>
        <w:t>.</w:t>
      </w:r>
      <w:r>
        <w:rPr>
          <w:sz w:val="22"/>
          <w:szCs w:val="22"/>
        </w:rPr>
        <w:t xml:space="preserve"> </w:t>
      </w:r>
      <w:r w:rsidR="008C6195">
        <w:rPr>
          <w:sz w:val="22"/>
          <w:szCs w:val="22"/>
        </w:rPr>
        <w:t xml:space="preserve">For this reason, instead of taking steps to </w:t>
      </w:r>
      <w:r w:rsidR="008C6195" w:rsidRPr="008C6195">
        <w:rPr>
          <w:i/>
          <w:sz w:val="22"/>
          <w:szCs w:val="22"/>
        </w:rPr>
        <w:t xml:space="preserve">avoid </w:t>
      </w:r>
      <w:r w:rsidR="008C6195">
        <w:rPr>
          <w:sz w:val="22"/>
          <w:szCs w:val="22"/>
        </w:rPr>
        <w:t>a gross estate inclusion, m</w:t>
      </w:r>
      <w:r w:rsidR="00CC2E3C">
        <w:rPr>
          <w:sz w:val="22"/>
          <w:szCs w:val="22"/>
        </w:rPr>
        <w:t xml:space="preserve">any planning decisions will involve efforts to </w:t>
      </w:r>
      <w:r w:rsidR="00CC2E3C" w:rsidRPr="00CC2E3C">
        <w:rPr>
          <w:i/>
          <w:sz w:val="22"/>
          <w:szCs w:val="22"/>
        </w:rPr>
        <w:t>include</w:t>
      </w:r>
      <w:r w:rsidR="00CC2E3C">
        <w:rPr>
          <w:sz w:val="22"/>
          <w:szCs w:val="22"/>
        </w:rPr>
        <w:t xml:space="preserve"> the value of interests in the decedent’s gross estate.</w:t>
      </w:r>
    </w:p>
    <w:p w:rsidR="00CC2E3C" w:rsidRDefault="00CC2E3C" w:rsidP="00262715">
      <w:pPr>
        <w:spacing w:line="240" w:lineRule="exact"/>
        <w:ind w:left="1627" w:hanging="540"/>
        <w:rPr>
          <w:sz w:val="22"/>
          <w:szCs w:val="22"/>
        </w:rPr>
      </w:pPr>
    </w:p>
    <w:p w:rsidR="006C080A" w:rsidRDefault="00CC2E3C" w:rsidP="00262715">
      <w:pPr>
        <w:spacing w:line="240" w:lineRule="exact"/>
        <w:ind w:left="1627" w:hanging="540"/>
        <w:rPr>
          <w:sz w:val="22"/>
          <w:szCs w:val="22"/>
        </w:rPr>
      </w:pPr>
      <w:r>
        <w:rPr>
          <w:sz w:val="22"/>
          <w:szCs w:val="22"/>
        </w:rPr>
        <w:t>d.</w:t>
      </w:r>
      <w:r>
        <w:rPr>
          <w:sz w:val="22"/>
          <w:szCs w:val="22"/>
        </w:rPr>
        <w:tab/>
      </w:r>
      <w:r w:rsidRPr="00CC2E3C">
        <w:rPr>
          <w:b/>
          <w:sz w:val="22"/>
          <w:szCs w:val="22"/>
        </w:rPr>
        <w:t>Discount planning has been turned on its head</w:t>
      </w:r>
      <w:r>
        <w:rPr>
          <w:sz w:val="22"/>
          <w:szCs w:val="22"/>
        </w:rPr>
        <w:t xml:space="preserve">. </w:t>
      </w:r>
      <w:r w:rsidR="00262715">
        <w:rPr>
          <w:sz w:val="22"/>
          <w:szCs w:val="22"/>
        </w:rPr>
        <w:t>Planning techniques that reduced value by way of discounts—fractional interest, minority interest, restrictions on transferability</w:t>
      </w:r>
      <w:r>
        <w:rPr>
          <w:sz w:val="22"/>
          <w:szCs w:val="22"/>
        </w:rPr>
        <w:t>, lack of marketability</w:t>
      </w:r>
      <w:r w:rsidR="008C6195">
        <w:rPr>
          <w:sz w:val="22"/>
          <w:szCs w:val="22"/>
        </w:rPr>
        <w:t>, etc.</w:t>
      </w:r>
      <w:r>
        <w:rPr>
          <w:sz w:val="22"/>
          <w:szCs w:val="22"/>
        </w:rPr>
        <w:t xml:space="preserve">—no longer project benefits but are a matter of concern because of the potential </w:t>
      </w:r>
      <w:r w:rsidR="008C6195" w:rsidRPr="008C6195">
        <w:rPr>
          <w:i/>
          <w:sz w:val="22"/>
          <w:szCs w:val="22"/>
        </w:rPr>
        <w:t xml:space="preserve">harm </w:t>
      </w:r>
      <w:r w:rsidR="008C6195">
        <w:rPr>
          <w:sz w:val="22"/>
          <w:szCs w:val="22"/>
        </w:rPr>
        <w:t>they may cause with respect to</w:t>
      </w:r>
      <w:r>
        <w:rPr>
          <w:sz w:val="22"/>
          <w:szCs w:val="22"/>
        </w:rPr>
        <w:t xml:space="preserve"> the “new basis at death” rule. </w:t>
      </w:r>
      <w:r w:rsidR="00E47D48">
        <w:rPr>
          <w:sz w:val="22"/>
          <w:szCs w:val="22"/>
        </w:rPr>
        <w:t>In more than a few cases, the concern now is to find ways to unwind these transactions so as to avoid valuation reductions.</w:t>
      </w:r>
    </w:p>
    <w:p w:rsidR="0067447D" w:rsidRDefault="0067447D" w:rsidP="002D4D64">
      <w:pPr>
        <w:spacing w:line="240" w:lineRule="exact"/>
        <w:ind w:left="1627" w:hanging="540"/>
        <w:rPr>
          <w:sz w:val="22"/>
          <w:szCs w:val="22"/>
        </w:rPr>
      </w:pPr>
    </w:p>
    <w:p w:rsidR="00494E59" w:rsidRDefault="00494E59" w:rsidP="00494E59">
      <w:pPr>
        <w:spacing w:line="240" w:lineRule="exact"/>
        <w:ind w:left="1260" w:hanging="540"/>
        <w:rPr>
          <w:b/>
          <w:sz w:val="22"/>
          <w:szCs w:val="22"/>
        </w:rPr>
      </w:pPr>
      <w:r>
        <w:rPr>
          <w:sz w:val="22"/>
          <w:szCs w:val="22"/>
        </w:rPr>
        <w:t>4</w:t>
      </w:r>
      <w:r w:rsidR="00DF5E43" w:rsidRPr="0067447D">
        <w:rPr>
          <w:sz w:val="22"/>
          <w:szCs w:val="22"/>
        </w:rPr>
        <w:t>.</w:t>
      </w:r>
      <w:r w:rsidR="00DF5E43" w:rsidRPr="0067447D">
        <w:rPr>
          <w:sz w:val="22"/>
          <w:szCs w:val="22"/>
        </w:rPr>
        <w:tab/>
      </w:r>
      <w:r w:rsidR="006C080A" w:rsidRPr="006C080A">
        <w:rPr>
          <w:b/>
          <w:sz w:val="22"/>
          <w:szCs w:val="22"/>
        </w:rPr>
        <w:t>“But I have all of those sophisticated estate planning tools that I won’t be using anymore</w:t>
      </w:r>
      <w:r>
        <w:rPr>
          <w:b/>
          <w:sz w:val="22"/>
          <w:szCs w:val="22"/>
        </w:rPr>
        <w:t>!</w:t>
      </w:r>
      <w:r w:rsidR="008A08B5">
        <w:rPr>
          <w:b/>
          <w:sz w:val="22"/>
          <w:szCs w:val="22"/>
        </w:rPr>
        <w:t xml:space="preserve"> </w:t>
      </w:r>
      <w:r>
        <w:rPr>
          <w:b/>
          <w:sz w:val="22"/>
          <w:szCs w:val="22"/>
        </w:rPr>
        <w:t>A</w:t>
      </w:r>
      <w:r w:rsidR="008A08B5">
        <w:rPr>
          <w:b/>
          <w:sz w:val="22"/>
          <w:szCs w:val="22"/>
        </w:rPr>
        <w:t>nd I spend so much time learning all of those things</w:t>
      </w:r>
      <w:r w:rsidR="00CC2E3C">
        <w:rPr>
          <w:b/>
          <w:sz w:val="22"/>
          <w:szCs w:val="22"/>
        </w:rPr>
        <w:t>!</w:t>
      </w:r>
      <w:r w:rsidR="006C080A" w:rsidRPr="006C080A">
        <w:rPr>
          <w:b/>
          <w:sz w:val="22"/>
          <w:szCs w:val="22"/>
        </w:rPr>
        <w:t xml:space="preserve"> </w:t>
      </w:r>
      <w:r w:rsidR="006C080A">
        <w:rPr>
          <w:b/>
          <w:sz w:val="22"/>
          <w:szCs w:val="22"/>
        </w:rPr>
        <w:t>Should I consider shifting my</w:t>
      </w:r>
      <w:r w:rsidR="00DF5E43" w:rsidRPr="0067447D">
        <w:rPr>
          <w:b/>
          <w:sz w:val="22"/>
          <w:szCs w:val="22"/>
        </w:rPr>
        <w:t xml:space="preserve"> practice to another area?</w:t>
      </w:r>
      <w:r w:rsidR="006C080A">
        <w:rPr>
          <w:b/>
          <w:sz w:val="22"/>
          <w:szCs w:val="22"/>
        </w:rPr>
        <w:t>”</w:t>
      </w:r>
      <w:r w:rsidR="00DF5E43" w:rsidRPr="0067447D">
        <w:rPr>
          <w:b/>
          <w:sz w:val="22"/>
          <w:szCs w:val="22"/>
        </w:rPr>
        <w:t xml:space="preserve"> </w:t>
      </w:r>
    </w:p>
    <w:p w:rsidR="00494E59" w:rsidRDefault="00494E59" w:rsidP="00494E59">
      <w:pPr>
        <w:spacing w:line="240" w:lineRule="exact"/>
        <w:ind w:left="1260" w:hanging="540"/>
        <w:rPr>
          <w:b/>
          <w:sz w:val="22"/>
          <w:szCs w:val="22"/>
        </w:rPr>
      </w:pPr>
    </w:p>
    <w:p w:rsidR="00DF5E43" w:rsidRPr="00DF5E43" w:rsidRDefault="00CC2E3C" w:rsidP="00494E59">
      <w:pPr>
        <w:spacing w:line="240" w:lineRule="exact"/>
        <w:ind w:left="1260"/>
        <w:rPr>
          <w:sz w:val="22"/>
          <w:szCs w:val="22"/>
        </w:rPr>
      </w:pPr>
      <w:r>
        <w:rPr>
          <w:b/>
          <w:sz w:val="22"/>
          <w:szCs w:val="22"/>
        </w:rPr>
        <w:t>Au contraire</w:t>
      </w:r>
      <w:r w:rsidR="0067447D" w:rsidRPr="0067447D">
        <w:rPr>
          <w:b/>
          <w:sz w:val="22"/>
          <w:szCs w:val="22"/>
        </w:rPr>
        <w:t>!</w:t>
      </w:r>
      <w:r w:rsidR="00DF5E43" w:rsidRPr="00DF5E43">
        <w:rPr>
          <w:sz w:val="22"/>
          <w:szCs w:val="22"/>
        </w:rPr>
        <w:t xml:space="preserve"> </w:t>
      </w:r>
      <w:r w:rsidR="0067447D">
        <w:rPr>
          <w:sz w:val="22"/>
          <w:szCs w:val="22"/>
        </w:rPr>
        <w:t>These “mere millionaire” clients are</w:t>
      </w:r>
      <w:r w:rsidR="006C080A">
        <w:rPr>
          <w:sz w:val="22"/>
          <w:szCs w:val="22"/>
        </w:rPr>
        <w:t xml:space="preserve"> still</w:t>
      </w:r>
      <w:r w:rsidR="0067447D">
        <w:rPr>
          <w:sz w:val="22"/>
          <w:szCs w:val="22"/>
        </w:rPr>
        <w:t xml:space="preserve"> going to </w:t>
      </w:r>
      <w:r w:rsidR="00DF5E43" w:rsidRPr="00DF5E43">
        <w:rPr>
          <w:sz w:val="22"/>
          <w:szCs w:val="22"/>
        </w:rPr>
        <w:t>need wills</w:t>
      </w:r>
      <w:r w:rsidR="0067447D">
        <w:rPr>
          <w:sz w:val="22"/>
          <w:szCs w:val="22"/>
        </w:rPr>
        <w:t xml:space="preserve"> (with those wills </w:t>
      </w:r>
      <w:r w:rsidR="00D03A09">
        <w:rPr>
          <w:sz w:val="22"/>
          <w:szCs w:val="22"/>
        </w:rPr>
        <w:t xml:space="preserve">invariably </w:t>
      </w:r>
      <w:r w:rsidR="0067447D">
        <w:rPr>
          <w:sz w:val="22"/>
          <w:szCs w:val="22"/>
        </w:rPr>
        <w:t xml:space="preserve">containing </w:t>
      </w:r>
      <w:r w:rsidR="006C080A">
        <w:rPr>
          <w:sz w:val="22"/>
          <w:szCs w:val="22"/>
        </w:rPr>
        <w:t xml:space="preserve">at least some </w:t>
      </w:r>
      <w:r w:rsidR="0067447D">
        <w:rPr>
          <w:sz w:val="22"/>
          <w:szCs w:val="22"/>
        </w:rPr>
        <w:t xml:space="preserve">trust provisions), and will </w:t>
      </w:r>
      <w:r w:rsidR="00DF5E43" w:rsidRPr="00DF5E43">
        <w:rPr>
          <w:sz w:val="22"/>
          <w:szCs w:val="22"/>
        </w:rPr>
        <w:t xml:space="preserve">continue to have concerns about retirement planning, planning for disability and incapacity, creditor protection, second spouse protection, business succession planning, planning for descendants with disabilities, planning for clients who own real </w:t>
      </w:r>
      <w:r w:rsidR="006C080A">
        <w:rPr>
          <w:sz w:val="22"/>
          <w:szCs w:val="22"/>
        </w:rPr>
        <w:t>property</w:t>
      </w:r>
      <w:r w:rsidR="00DF5E43" w:rsidRPr="00DF5E43">
        <w:rPr>
          <w:sz w:val="22"/>
          <w:szCs w:val="22"/>
        </w:rPr>
        <w:t xml:space="preserve"> in </w:t>
      </w:r>
      <w:r w:rsidR="00DF5E43">
        <w:rPr>
          <w:sz w:val="22"/>
          <w:szCs w:val="22"/>
        </w:rPr>
        <w:t>another</w:t>
      </w:r>
      <w:r w:rsidR="00DF5E43" w:rsidRPr="00DF5E43">
        <w:rPr>
          <w:sz w:val="22"/>
          <w:szCs w:val="22"/>
        </w:rPr>
        <w:t xml:space="preserve"> state—and that’s just a partial list. </w:t>
      </w:r>
    </w:p>
    <w:p w:rsidR="00DF5E43" w:rsidRDefault="00DF5E43" w:rsidP="0067447D">
      <w:pPr>
        <w:spacing w:line="240" w:lineRule="exact"/>
        <w:ind w:left="1627" w:hanging="540"/>
        <w:rPr>
          <w:sz w:val="22"/>
          <w:szCs w:val="22"/>
        </w:rPr>
      </w:pPr>
    </w:p>
    <w:p w:rsidR="00DF5E43" w:rsidRDefault="00494E59" w:rsidP="00494E59">
      <w:pPr>
        <w:spacing w:line="240" w:lineRule="exact"/>
        <w:ind w:left="1800" w:hanging="540"/>
        <w:rPr>
          <w:sz w:val="22"/>
          <w:szCs w:val="22"/>
        </w:rPr>
      </w:pPr>
      <w:r>
        <w:rPr>
          <w:sz w:val="22"/>
          <w:szCs w:val="22"/>
        </w:rPr>
        <w:t>a.</w:t>
      </w:r>
      <w:r w:rsidR="00DF5E43">
        <w:rPr>
          <w:sz w:val="22"/>
          <w:szCs w:val="22"/>
        </w:rPr>
        <w:tab/>
      </w:r>
      <w:r w:rsidR="00DF5E43" w:rsidRPr="001E6F26">
        <w:rPr>
          <w:sz w:val="22"/>
          <w:szCs w:val="22"/>
        </w:rPr>
        <w:t>January 2017 article from The Onion (“America’s Finest News Source”): “GENEVA, SWITZERLAND—World Health Organization officials expressed disappointment Monday at the group's finding that, despite the enormous efforts of doctors, rescue workers and other medical professionals worldwide, the global death rate remains constant at 100 percent.”</w:t>
      </w:r>
    </w:p>
    <w:p w:rsidR="00CC2E3C" w:rsidRDefault="00CC2E3C" w:rsidP="00494E59">
      <w:pPr>
        <w:spacing w:line="240" w:lineRule="exact"/>
        <w:ind w:left="1800" w:hanging="540"/>
        <w:rPr>
          <w:sz w:val="22"/>
          <w:szCs w:val="22"/>
        </w:rPr>
      </w:pPr>
    </w:p>
    <w:p w:rsidR="00CC2E3C" w:rsidRPr="001E6F26" w:rsidRDefault="00CC2E3C" w:rsidP="00494E59">
      <w:pPr>
        <w:spacing w:line="240" w:lineRule="exact"/>
        <w:ind w:left="1800" w:hanging="540"/>
        <w:rPr>
          <w:sz w:val="22"/>
          <w:szCs w:val="22"/>
        </w:rPr>
      </w:pPr>
      <w:r>
        <w:rPr>
          <w:sz w:val="22"/>
          <w:szCs w:val="22"/>
        </w:rPr>
        <w:t>b.</w:t>
      </w:r>
      <w:r>
        <w:rPr>
          <w:sz w:val="22"/>
          <w:szCs w:val="22"/>
        </w:rPr>
        <w:tab/>
      </w:r>
      <w:r>
        <w:rPr>
          <w:b/>
          <w:sz w:val="22"/>
          <w:szCs w:val="22"/>
        </w:rPr>
        <w:t>D</w:t>
      </w:r>
      <w:r w:rsidRPr="00CC2E3C">
        <w:rPr>
          <w:b/>
          <w:sz w:val="22"/>
          <w:szCs w:val="22"/>
        </w:rPr>
        <w:t>on’t hit the word processor “delete” button</w:t>
      </w:r>
      <w:r w:rsidR="008C6195">
        <w:rPr>
          <w:b/>
          <w:sz w:val="22"/>
          <w:szCs w:val="22"/>
        </w:rPr>
        <w:t xml:space="preserve"> for</w:t>
      </w:r>
      <w:r w:rsidRPr="00CC2E3C">
        <w:rPr>
          <w:b/>
          <w:sz w:val="22"/>
          <w:szCs w:val="22"/>
        </w:rPr>
        <w:t xml:space="preserve"> those sophisticated planning forms</w:t>
      </w:r>
      <w:r w:rsidR="008C6195">
        <w:rPr>
          <w:b/>
          <w:sz w:val="22"/>
          <w:szCs w:val="22"/>
        </w:rPr>
        <w:t>, though</w:t>
      </w:r>
      <w:r>
        <w:rPr>
          <w:sz w:val="22"/>
          <w:szCs w:val="22"/>
        </w:rPr>
        <w:t>. They may come back into play if and when the exemption is replaced by a more modest exemption.</w:t>
      </w:r>
    </w:p>
    <w:p w:rsidR="00DF5E43" w:rsidRDefault="00DF5E43" w:rsidP="0067447D">
      <w:pPr>
        <w:spacing w:line="240" w:lineRule="exact"/>
        <w:ind w:left="2167" w:hanging="540"/>
        <w:rPr>
          <w:sz w:val="22"/>
          <w:szCs w:val="22"/>
        </w:rPr>
      </w:pPr>
    </w:p>
    <w:p w:rsidR="00967C41" w:rsidRDefault="00494E59" w:rsidP="00DF5E43">
      <w:pPr>
        <w:spacing w:line="240" w:lineRule="exact"/>
        <w:ind w:left="1087" w:hanging="540"/>
        <w:rPr>
          <w:sz w:val="22"/>
          <w:szCs w:val="22"/>
        </w:rPr>
      </w:pPr>
      <w:r>
        <w:rPr>
          <w:sz w:val="22"/>
          <w:szCs w:val="22"/>
        </w:rPr>
        <w:lastRenderedPageBreak/>
        <w:t>5</w:t>
      </w:r>
      <w:r w:rsidR="001D4843" w:rsidRPr="00DF5E43">
        <w:rPr>
          <w:sz w:val="22"/>
          <w:szCs w:val="22"/>
        </w:rPr>
        <w:t>.</w:t>
      </w:r>
      <w:r w:rsidR="005B4D00" w:rsidRPr="00DF5E43">
        <w:rPr>
          <w:sz w:val="22"/>
          <w:szCs w:val="22"/>
        </w:rPr>
        <w:tab/>
      </w:r>
      <w:r w:rsidR="009F3E5B" w:rsidRPr="00DF5E43">
        <w:rPr>
          <w:b/>
          <w:sz w:val="22"/>
          <w:szCs w:val="22"/>
        </w:rPr>
        <w:t>Communicating with existing clients</w:t>
      </w:r>
      <w:r w:rsidR="009F3E5B" w:rsidRPr="00DF5E43">
        <w:rPr>
          <w:sz w:val="22"/>
          <w:szCs w:val="22"/>
        </w:rPr>
        <w:t xml:space="preserve">. </w:t>
      </w:r>
      <w:r w:rsidR="009F3E5B">
        <w:rPr>
          <w:sz w:val="22"/>
          <w:szCs w:val="22"/>
        </w:rPr>
        <w:t xml:space="preserve">The TCJA has had a profound effect on the estate plans for </w:t>
      </w:r>
      <w:r w:rsidR="008A08B5">
        <w:rPr>
          <w:sz w:val="22"/>
          <w:szCs w:val="22"/>
        </w:rPr>
        <w:t xml:space="preserve">more than a few </w:t>
      </w:r>
      <w:r w:rsidR="009F3E5B">
        <w:rPr>
          <w:sz w:val="22"/>
          <w:szCs w:val="22"/>
        </w:rPr>
        <w:t xml:space="preserve">of your clients. This will be particularly </w:t>
      </w:r>
      <w:r w:rsidR="005B4D00">
        <w:rPr>
          <w:sz w:val="22"/>
          <w:szCs w:val="22"/>
        </w:rPr>
        <w:t xml:space="preserve">true for </w:t>
      </w:r>
      <w:r w:rsidR="005B4D00" w:rsidRPr="006C080A">
        <w:rPr>
          <w:b/>
          <w:i/>
          <w:sz w:val="22"/>
          <w:szCs w:val="22"/>
        </w:rPr>
        <w:t xml:space="preserve">wills that include one or more formula </w:t>
      </w:r>
      <w:r w:rsidR="006C080A">
        <w:rPr>
          <w:b/>
          <w:i/>
          <w:sz w:val="22"/>
          <w:szCs w:val="22"/>
        </w:rPr>
        <w:t>clauses</w:t>
      </w:r>
      <w:r w:rsidR="006C080A">
        <w:rPr>
          <w:sz w:val="22"/>
          <w:szCs w:val="22"/>
        </w:rPr>
        <w:t xml:space="preserve"> that are triggered by </w:t>
      </w:r>
      <w:r w:rsidR="00967C41">
        <w:rPr>
          <w:sz w:val="22"/>
          <w:szCs w:val="22"/>
        </w:rPr>
        <w:t>exemption</w:t>
      </w:r>
      <w:r w:rsidR="006C080A">
        <w:rPr>
          <w:sz w:val="22"/>
          <w:szCs w:val="22"/>
        </w:rPr>
        <w:t xml:space="preserve"> amount</w:t>
      </w:r>
      <w:r w:rsidR="00967C41">
        <w:rPr>
          <w:sz w:val="22"/>
          <w:szCs w:val="22"/>
        </w:rPr>
        <w:t>s as of the date of death</w:t>
      </w:r>
      <w:r w:rsidR="009F3E5B">
        <w:rPr>
          <w:sz w:val="22"/>
          <w:szCs w:val="22"/>
        </w:rPr>
        <w:t>—</w:t>
      </w:r>
      <w:r w:rsidR="006C080A" w:rsidRPr="006C080A">
        <w:rPr>
          <w:i/>
          <w:sz w:val="22"/>
          <w:szCs w:val="22"/>
        </w:rPr>
        <w:t>e.g</w:t>
      </w:r>
      <w:r w:rsidR="006C080A">
        <w:rPr>
          <w:sz w:val="22"/>
          <w:szCs w:val="22"/>
        </w:rPr>
        <w:t xml:space="preserve">., </w:t>
      </w:r>
      <w:r w:rsidR="009F3E5B">
        <w:rPr>
          <w:sz w:val="22"/>
          <w:szCs w:val="22"/>
        </w:rPr>
        <w:t xml:space="preserve">a </w:t>
      </w:r>
      <w:r w:rsidR="005B4D00">
        <w:rPr>
          <w:sz w:val="22"/>
          <w:szCs w:val="22"/>
        </w:rPr>
        <w:t xml:space="preserve">formula gift to a </w:t>
      </w:r>
      <w:proofErr w:type="spellStart"/>
      <w:r w:rsidR="005B4D00">
        <w:rPr>
          <w:sz w:val="22"/>
          <w:szCs w:val="22"/>
        </w:rPr>
        <w:t>QTIPable</w:t>
      </w:r>
      <w:proofErr w:type="spellEnd"/>
      <w:r w:rsidR="005B4D00">
        <w:rPr>
          <w:sz w:val="22"/>
          <w:szCs w:val="22"/>
        </w:rPr>
        <w:t xml:space="preserve"> marital trust</w:t>
      </w:r>
      <w:r w:rsidR="00356456">
        <w:rPr>
          <w:sz w:val="22"/>
          <w:szCs w:val="22"/>
        </w:rPr>
        <w:t>,</w:t>
      </w:r>
      <w:r w:rsidR="005B4D00">
        <w:rPr>
          <w:sz w:val="22"/>
          <w:szCs w:val="22"/>
        </w:rPr>
        <w:t xml:space="preserve"> with the residue to pass to a credit shelter trust; or a formula allocation of assets between a GST-exempt trust and a GST-nonexempt trust. </w:t>
      </w:r>
      <w:r w:rsidR="001D4843">
        <w:rPr>
          <w:sz w:val="22"/>
          <w:szCs w:val="22"/>
        </w:rPr>
        <w:t>If these trusts have different beneficiaries</w:t>
      </w:r>
      <w:r w:rsidR="005B4D00">
        <w:rPr>
          <w:sz w:val="22"/>
          <w:szCs w:val="22"/>
        </w:rPr>
        <w:t xml:space="preserve">, the </w:t>
      </w:r>
      <w:r w:rsidR="005B4D00" w:rsidRPr="00165A8E">
        <w:rPr>
          <w:sz w:val="22"/>
          <w:szCs w:val="22"/>
        </w:rPr>
        <w:t xml:space="preserve">increased exemption </w:t>
      </w:r>
      <w:r w:rsidR="00356456">
        <w:rPr>
          <w:sz w:val="22"/>
          <w:szCs w:val="22"/>
        </w:rPr>
        <w:t xml:space="preserve">will have the effect </w:t>
      </w:r>
      <w:r w:rsidR="005B4D00">
        <w:rPr>
          <w:sz w:val="22"/>
          <w:szCs w:val="22"/>
        </w:rPr>
        <w:t xml:space="preserve">of dramatically shifting </w:t>
      </w:r>
      <w:r w:rsidR="00356456">
        <w:rPr>
          <w:sz w:val="22"/>
          <w:szCs w:val="22"/>
        </w:rPr>
        <w:t>beneficial interests</w:t>
      </w:r>
      <w:r w:rsidR="00967C41">
        <w:rPr>
          <w:sz w:val="22"/>
          <w:szCs w:val="22"/>
        </w:rPr>
        <w:t>.</w:t>
      </w:r>
    </w:p>
    <w:p w:rsidR="00356456" w:rsidRDefault="00356456" w:rsidP="00DF5E43">
      <w:pPr>
        <w:spacing w:line="240" w:lineRule="exact"/>
        <w:ind w:left="1087" w:hanging="540"/>
        <w:rPr>
          <w:sz w:val="22"/>
          <w:szCs w:val="22"/>
        </w:rPr>
      </w:pPr>
    </w:p>
    <w:p w:rsidR="00934942" w:rsidRDefault="00DF5E43" w:rsidP="00DF5E43">
      <w:pPr>
        <w:spacing w:line="240" w:lineRule="exact"/>
        <w:ind w:left="1627" w:hanging="540"/>
        <w:rPr>
          <w:sz w:val="22"/>
          <w:szCs w:val="22"/>
        </w:rPr>
      </w:pPr>
      <w:proofErr w:type="gramStart"/>
      <w:r>
        <w:rPr>
          <w:sz w:val="22"/>
          <w:szCs w:val="22"/>
        </w:rPr>
        <w:t>a</w:t>
      </w:r>
      <w:proofErr w:type="gramEnd"/>
      <w:r w:rsidR="00356456">
        <w:rPr>
          <w:sz w:val="22"/>
          <w:szCs w:val="22"/>
        </w:rPr>
        <w:t>.</w:t>
      </w:r>
      <w:r w:rsidR="00356456">
        <w:rPr>
          <w:sz w:val="22"/>
          <w:szCs w:val="22"/>
        </w:rPr>
        <w:tab/>
      </w:r>
      <w:r>
        <w:rPr>
          <w:sz w:val="22"/>
          <w:szCs w:val="22"/>
        </w:rPr>
        <w:t>W</w:t>
      </w:r>
      <w:r w:rsidR="00356456">
        <w:rPr>
          <w:sz w:val="22"/>
          <w:szCs w:val="22"/>
        </w:rPr>
        <w:t>hen ERTA introduced the unlimited marital deduction in 1981 (replacing the quantitative “one-half of my adjusted gross estate” limitation on the deduction</w:t>
      </w:r>
      <w:r>
        <w:rPr>
          <w:sz w:val="22"/>
          <w:szCs w:val="22"/>
        </w:rPr>
        <w:t>)</w:t>
      </w:r>
      <w:r w:rsidR="00356456">
        <w:rPr>
          <w:sz w:val="22"/>
          <w:szCs w:val="22"/>
        </w:rPr>
        <w:t xml:space="preserve">, many </w:t>
      </w:r>
      <w:r w:rsidR="008A08B5">
        <w:rPr>
          <w:sz w:val="22"/>
          <w:szCs w:val="22"/>
        </w:rPr>
        <w:t xml:space="preserve">existing </w:t>
      </w:r>
      <w:r>
        <w:rPr>
          <w:sz w:val="22"/>
          <w:szCs w:val="22"/>
        </w:rPr>
        <w:t xml:space="preserve">wills </w:t>
      </w:r>
      <w:r w:rsidR="00356456">
        <w:rPr>
          <w:sz w:val="22"/>
          <w:szCs w:val="22"/>
        </w:rPr>
        <w:t xml:space="preserve">made formula gifts </w:t>
      </w:r>
      <w:r w:rsidR="008C6195">
        <w:rPr>
          <w:sz w:val="22"/>
          <w:szCs w:val="22"/>
        </w:rPr>
        <w:t xml:space="preserve">to spouses </w:t>
      </w:r>
      <w:r w:rsidR="00356456">
        <w:rPr>
          <w:sz w:val="22"/>
          <w:szCs w:val="22"/>
        </w:rPr>
        <w:t xml:space="preserve">of “the maximum allowable marital deduction available to my estate.” To avoid having an act of Congress change the amount of </w:t>
      </w:r>
      <w:r w:rsidR="008C6195">
        <w:rPr>
          <w:sz w:val="22"/>
          <w:szCs w:val="22"/>
        </w:rPr>
        <w:t xml:space="preserve">such </w:t>
      </w:r>
      <w:r w:rsidR="00356456">
        <w:rPr>
          <w:sz w:val="22"/>
          <w:szCs w:val="22"/>
        </w:rPr>
        <w:t>gifts</w:t>
      </w:r>
      <w:r w:rsidR="008A08B5">
        <w:rPr>
          <w:sz w:val="22"/>
          <w:szCs w:val="22"/>
        </w:rPr>
        <w:t>—to the entire estate</w:t>
      </w:r>
      <w:r w:rsidR="00356456">
        <w:rPr>
          <w:sz w:val="22"/>
          <w:szCs w:val="22"/>
        </w:rPr>
        <w:t>, ERTA 1981 included a transition rule, under which formula clauses in wills executed before a certain date w</w:t>
      </w:r>
      <w:r w:rsidR="00934942">
        <w:rPr>
          <w:sz w:val="22"/>
          <w:szCs w:val="22"/>
        </w:rPr>
        <w:t>ere to</w:t>
      </w:r>
      <w:r w:rsidR="00356456">
        <w:rPr>
          <w:sz w:val="22"/>
          <w:szCs w:val="22"/>
        </w:rPr>
        <w:t xml:space="preserve"> be construed </w:t>
      </w:r>
      <w:r w:rsidR="008A08B5">
        <w:rPr>
          <w:sz w:val="22"/>
          <w:szCs w:val="22"/>
        </w:rPr>
        <w:t>in accordance with the former law</w:t>
      </w:r>
      <w:r w:rsidR="00356456">
        <w:rPr>
          <w:sz w:val="22"/>
          <w:szCs w:val="22"/>
        </w:rPr>
        <w:t xml:space="preserve">. </w:t>
      </w:r>
    </w:p>
    <w:p w:rsidR="00934942" w:rsidRDefault="00934942" w:rsidP="00DF5E43">
      <w:pPr>
        <w:spacing w:line="240" w:lineRule="exact"/>
        <w:ind w:left="1627" w:hanging="540"/>
        <w:rPr>
          <w:sz w:val="22"/>
          <w:szCs w:val="22"/>
        </w:rPr>
      </w:pPr>
    </w:p>
    <w:p w:rsidR="00AB6885" w:rsidRDefault="00934942" w:rsidP="00DF5E43">
      <w:pPr>
        <w:spacing w:line="240" w:lineRule="exact"/>
        <w:ind w:left="1627" w:hanging="540"/>
        <w:rPr>
          <w:sz w:val="22"/>
          <w:szCs w:val="22"/>
        </w:rPr>
      </w:pPr>
      <w:r>
        <w:rPr>
          <w:sz w:val="22"/>
          <w:szCs w:val="22"/>
        </w:rPr>
        <w:t>b.</w:t>
      </w:r>
      <w:r>
        <w:rPr>
          <w:sz w:val="22"/>
          <w:szCs w:val="22"/>
        </w:rPr>
        <w:tab/>
      </w:r>
      <w:r w:rsidR="00356456" w:rsidRPr="008A08B5">
        <w:rPr>
          <w:b/>
          <w:sz w:val="22"/>
          <w:szCs w:val="22"/>
        </w:rPr>
        <w:t xml:space="preserve">There is no transition rule under </w:t>
      </w:r>
      <w:r w:rsidR="00967C41" w:rsidRPr="008A08B5">
        <w:rPr>
          <w:b/>
          <w:sz w:val="22"/>
          <w:szCs w:val="22"/>
        </w:rPr>
        <w:t>the TCJA</w:t>
      </w:r>
      <w:r w:rsidR="00967C41">
        <w:rPr>
          <w:sz w:val="22"/>
          <w:szCs w:val="22"/>
        </w:rPr>
        <w:t>.</w:t>
      </w:r>
      <w:r w:rsidR="008A08B5">
        <w:rPr>
          <w:sz w:val="22"/>
          <w:szCs w:val="22"/>
        </w:rPr>
        <w:t xml:space="preserve"> Unless wills or other planning documents</w:t>
      </w:r>
      <w:r w:rsidR="00AB6885">
        <w:rPr>
          <w:sz w:val="22"/>
          <w:szCs w:val="22"/>
        </w:rPr>
        <w:t xml:space="preserve"> with formula provisions</w:t>
      </w:r>
      <w:r w:rsidR="008A08B5">
        <w:rPr>
          <w:sz w:val="22"/>
          <w:szCs w:val="22"/>
        </w:rPr>
        <w:t xml:space="preserve"> are revised, </w:t>
      </w:r>
      <w:r w:rsidR="00AB6885">
        <w:rPr>
          <w:sz w:val="22"/>
          <w:szCs w:val="22"/>
        </w:rPr>
        <w:t xml:space="preserve">Congress through </w:t>
      </w:r>
      <w:r w:rsidR="008A08B5">
        <w:rPr>
          <w:sz w:val="22"/>
          <w:szCs w:val="22"/>
        </w:rPr>
        <w:t xml:space="preserve">the higher exemption will </w:t>
      </w:r>
      <w:r w:rsidR="00AB6885">
        <w:rPr>
          <w:sz w:val="22"/>
          <w:szCs w:val="22"/>
        </w:rPr>
        <w:t xml:space="preserve">have made substantive </w:t>
      </w:r>
      <w:r w:rsidR="008C6195">
        <w:rPr>
          <w:sz w:val="22"/>
          <w:szCs w:val="22"/>
        </w:rPr>
        <w:t xml:space="preserve">and potentially major </w:t>
      </w:r>
      <w:r w:rsidR="00AB6885">
        <w:rPr>
          <w:sz w:val="22"/>
          <w:szCs w:val="22"/>
        </w:rPr>
        <w:t>changes in the client’s</w:t>
      </w:r>
      <w:r w:rsidR="008C6195">
        <w:rPr>
          <w:sz w:val="22"/>
          <w:szCs w:val="22"/>
        </w:rPr>
        <w:t xml:space="preserve"> </w:t>
      </w:r>
      <w:r w:rsidR="008A08B5">
        <w:rPr>
          <w:sz w:val="22"/>
          <w:szCs w:val="22"/>
        </w:rPr>
        <w:t>estate plan</w:t>
      </w:r>
      <w:r w:rsidR="00AB6885">
        <w:rPr>
          <w:sz w:val="22"/>
          <w:szCs w:val="22"/>
        </w:rPr>
        <w:t>.</w:t>
      </w:r>
    </w:p>
    <w:p w:rsidR="00CF05C0" w:rsidRPr="00DF5E43" w:rsidRDefault="00CF05C0" w:rsidP="00DF5E43">
      <w:pPr>
        <w:spacing w:line="240" w:lineRule="exact"/>
        <w:ind w:left="1087" w:hanging="540"/>
        <w:rPr>
          <w:sz w:val="22"/>
          <w:szCs w:val="22"/>
        </w:rPr>
      </w:pPr>
    </w:p>
    <w:p w:rsidR="009F3E5B" w:rsidRDefault="00D03A09" w:rsidP="00D03A09">
      <w:pPr>
        <w:spacing w:line="240" w:lineRule="exact"/>
        <w:ind w:left="1627" w:hanging="540"/>
        <w:rPr>
          <w:sz w:val="22"/>
          <w:szCs w:val="22"/>
        </w:rPr>
      </w:pPr>
      <w:r>
        <w:rPr>
          <w:sz w:val="22"/>
          <w:szCs w:val="22"/>
        </w:rPr>
        <w:t>c</w:t>
      </w:r>
      <w:r w:rsidR="009F3E5B" w:rsidRPr="009F3E5B">
        <w:rPr>
          <w:sz w:val="22"/>
          <w:szCs w:val="22"/>
        </w:rPr>
        <w:t>.</w:t>
      </w:r>
      <w:r w:rsidR="009F3E5B" w:rsidRPr="009F3E5B">
        <w:rPr>
          <w:sz w:val="22"/>
          <w:szCs w:val="22"/>
        </w:rPr>
        <w:tab/>
      </w:r>
      <w:r w:rsidR="009F3E5B" w:rsidRPr="009F3E5B">
        <w:rPr>
          <w:b/>
          <w:sz w:val="22"/>
          <w:szCs w:val="22"/>
        </w:rPr>
        <w:t>Send a letter along the following lines?</w:t>
      </w:r>
    </w:p>
    <w:p w:rsidR="009F3E5B" w:rsidRDefault="009F3E5B" w:rsidP="009F3E5B">
      <w:pPr>
        <w:spacing w:line="240" w:lineRule="exact"/>
        <w:ind w:left="1627" w:hanging="540"/>
        <w:rPr>
          <w:sz w:val="22"/>
          <w:szCs w:val="22"/>
        </w:rPr>
      </w:pPr>
    </w:p>
    <w:p w:rsidR="009F3E5B" w:rsidRDefault="00142715" w:rsidP="00DF5E43">
      <w:pPr>
        <w:spacing w:line="240" w:lineRule="exact"/>
        <w:ind w:left="1627" w:hanging="187"/>
        <w:rPr>
          <w:sz w:val="22"/>
          <w:szCs w:val="22"/>
        </w:rPr>
      </w:pPr>
      <w:r>
        <w:rPr>
          <w:sz w:val="22"/>
          <w:szCs w:val="22"/>
        </w:rPr>
        <w:t>“</w:t>
      </w:r>
      <w:r w:rsidR="009F3E5B">
        <w:rPr>
          <w:sz w:val="22"/>
          <w:szCs w:val="22"/>
        </w:rPr>
        <w:t>Dear ____</w:t>
      </w:r>
    </w:p>
    <w:p w:rsidR="009F3E5B" w:rsidRDefault="009F3E5B" w:rsidP="009F3E5B">
      <w:pPr>
        <w:spacing w:line="240" w:lineRule="exact"/>
        <w:ind w:left="1627" w:hanging="540"/>
        <w:rPr>
          <w:sz w:val="22"/>
          <w:szCs w:val="22"/>
        </w:rPr>
      </w:pPr>
    </w:p>
    <w:p w:rsidR="009F3E5B" w:rsidRDefault="00DF5E43" w:rsidP="00DF5E43">
      <w:pPr>
        <w:spacing w:line="240" w:lineRule="exact"/>
        <w:ind w:left="1627" w:hanging="187"/>
        <w:rPr>
          <w:sz w:val="22"/>
          <w:szCs w:val="22"/>
        </w:rPr>
      </w:pPr>
      <w:r>
        <w:rPr>
          <w:sz w:val="22"/>
          <w:szCs w:val="22"/>
        </w:rPr>
        <w:t xml:space="preserve"> </w:t>
      </w:r>
      <w:r w:rsidR="00142715">
        <w:rPr>
          <w:sz w:val="22"/>
          <w:szCs w:val="22"/>
        </w:rPr>
        <w:t>“</w:t>
      </w:r>
      <w:r w:rsidR="009F3E5B">
        <w:rPr>
          <w:sz w:val="22"/>
          <w:szCs w:val="22"/>
        </w:rPr>
        <w:t xml:space="preserve">Our records show that you signed your estate planning documents in ____. As you know, Congress recently enacted a comprehensive tax bill that made major changes in our income tax, estate tax, and gift tax laws. These changes may have affected your estate plan. Also, the Texas legislature recently made significant changes relating to powers of attorney and other estate planning instruments. Finally, revisions may be appropriate due to changes in the family, as by </w:t>
      </w:r>
      <w:r w:rsidR="009F3E5B" w:rsidRPr="005F2FE0">
        <w:rPr>
          <w:sz w:val="22"/>
          <w:szCs w:val="22"/>
        </w:rPr>
        <w:t xml:space="preserve">the birth of a new family member, the death of a family member, </w:t>
      </w:r>
      <w:r w:rsidR="009F3E5B">
        <w:rPr>
          <w:sz w:val="22"/>
          <w:szCs w:val="22"/>
        </w:rPr>
        <w:t xml:space="preserve">marriages or divorces within the family, </w:t>
      </w:r>
      <w:r w:rsidR="009F3E5B" w:rsidRPr="005F2FE0">
        <w:rPr>
          <w:sz w:val="22"/>
          <w:szCs w:val="22"/>
        </w:rPr>
        <w:t xml:space="preserve">changes in financial circumstances, </w:t>
      </w:r>
      <w:r w:rsidR="009F3E5B">
        <w:rPr>
          <w:sz w:val="22"/>
          <w:szCs w:val="22"/>
        </w:rPr>
        <w:t xml:space="preserve">or </w:t>
      </w:r>
      <w:r w:rsidR="009F3E5B" w:rsidRPr="005F2FE0">
        <w:rPr>
          <w:sz w:val="22"/>
          <w:szCs w:val="22"/>
        </w:rPr>
        <w:t xml:space="preserve">by other factors such as changes in your goals and desires. </w:t>
      </w:r>
    </w:p>
    <w:p w:rsidR="009F3E5B" w:rsidRDefault="009F3E5B" w:rsidP="009F3E5B">
      <w:pPr>
        <w:spacing w:line="240" w:lineRule="exact"/>
        <w:ind w:left="1627" w:hanging="540"/>
        <w:rPr>
          <w:sz w:val="22"/>
          <w:szCs w:val="22"/>
        </w:rPr>
      </w:pPr>
    </w:p>
    <w:p w:rsidR="009F3E5B" w:rsidRDefault="00DF5E43" w:rsidP="00DF5E43">
      <w:pPr>
        <w:spacing w:line="240" w:lineRule="exact"/>
        <w:ind w:left="1627" w:hanging="187"/>
        <w:rPr>
          <w:sz w:val="22"/>
          <w:szCs w:val="22"/>
        </w:rPr>
      </w:pPr>
      <w:r>
        <w:rPr>
          <w:sz w:val="22"/>
          <w:szCs w:val="22"/>
        </w:rPr>
        <w:t xml:space="preserve"> </w:t>
      </w:r>
      <w:r w:rsidR="00142715">
        <w:rPr>
          <w:sz w:val="22"/>
          <w:szCs w:val="22"/>
        </w:rPr>
        <w:t>“</w:t>
      </w:r>
      <w:r w:rsidR="009F3E5B">
        <w:rPr>
          <w:sz w:val="22"/>
          <w:szCs w:val="22"/>
        </w:rPr>
        <w:t>This may be a good time for you to review your estate plan, to be sure that it is still consistent with your planning objectives. If you would like my assistance in reviewing your estate plan and related documents</w:t>
      </w:r>
      <w:r w:rsidR="009F3E5B" w:rsidRPr="005F2FE0">
        <w:rPr>
          <w:sz w:val="22"/>
          <w:szCs w:val="22"/>
        </w:rPr>
        <w:t>, please give me a call</w:t>
      </w:r>
      <w:r w:rsidR="009F3E5B">
        <w:rPr>
          <w:sz w:val="22"/>
          <w:szCs w:val="22"/>
        </w:rPr>
        <w:t>.</w:t>
      </w:r>
    </w:p>
    <w:p w:rsidR="009F3E5B" w:rsidRDefault="009F3E5B" w:rsidP="009F3E5B">
      <w:pPr>
        <w:spacing w:line="240" w:lineRule="exact"/>
        <w:ind w:left="1627" w:hanging="540"/>
        <w:rPr>
          <w:sz w:val="22"/>
          <w:szCs w:val="22"/>
        </w:rPr>
      </w:pPr>
    </w:p>
    <w:p w:rsidR="009F3E5B" w:rsidRDefault="00142715" w:rsidP="00DF5E43">
      <w:pPr>
        <w:spacing w:line="240" w:lineRule="exact"/>
        <w:ind w:left="1627" w:hanging="187"/>
        <w:rPr>
          <w:sz w:val="22"/>
          <w:szCs w:val="22"/>
        </w:rPr>
      </w:pPr>
      <w:r>
        <w:rPr>
          <w:sz w:val="22"/>
          <w:szCs w:val="22"/>
        </w:rPr>
        <w:t>“</w:t>
      </w:r>
      <w:r w:rsidR="009F3E5B">
        <w:rPr>
          <w:sz w:val="22"/>
          <w:szCs w:val="22"/>
        </w:rPr>
        <w:t>With best regards,</w:t>
      </w:r>
      <w:r>
        <w:rPr>
          <w:sz w:val="22"/>
          <w:szCs w:val="22"/>
        </w:rPr>
        <w:t>”</w:t>
      </w:r>
      <w:r w:rsidR="009F3E5B">
        <w:rPr>
          <w:sz w:val="22"/>
          <w:szCs w:val="22"/>
        </w:rPr>
        <w:t xml:space="preserve"> </w:t>
      </w:r>
    </w:p>
    <w:p w:rsidR="00142715" w:rsidRDefault="00142715" w:rsidP="00306708">
      <w:pPr>
        <w:spacing w:line="240" w:lineRule="atLeast"/>
        <w:ind w:left="540" w:hanging="540"/>
        <w:rPr>
          <w:b/>
          <w:sz w:val="22"/>
          <w:szCs w:val="22"/>
        </w:rPr>
      </w:pPr>
    </w:p>
    <w:p w:rsidR="00B13A48" w:rsidRDefault="00B13A48" w:rsidP="00B13A48">
      <w:pPr>
        <w:spacing w:line="240" w:lineRule="atLeast"/>
        <w:ind w:left="540" w:hanging="540"/>
        <w:rPr>
          <w:sz w:val="22"/>
          <w:szCs w:val="22"/>
        </w:rPr>
      </w:pPr>
      <w:r>
        <w:rPr>
          <w:b/>
          <w:sz w:val="22"/>
          <w:szCs w:val="22"/>
        </w:rPr>
        <w:t>B</w:t>
      </w:r>
      <w:r w:rsidRPr="003F082B">
        <w:rPr>
          <w:b/>
          <w:sz w:val="22"/>
          <w:szCs w:val="22"/>
        </w:rPr>
        <w:t>.</w:t>
      </w:r>
      <w:r w:rsidRPr="003F082B">
        <w:rPr>
          <w:b/>
          <w:sz w:val="22"/>
          <w:szCs w:val="22"/>
        </w:rPr>
        <w:tab/>
      </w:r>
      <w:r>
        <w:rPr>
          <w:b/>
          <w:sz w:val="22"/>
          <w:szCs w:val="22"/>
        </w:rPr>
        <w:t xml:space="preserve">Trusts remain the linchpin of any good estate plan. </w:t>
      </w:r>
      <w:r w:rsidR="00AB6885">
        <w:rPr>
          <w:sz w:val="22"/>
          <w:szCs w:val="22"/>
        </w:rPr>
        <w:t xml:space="preserve">The Dukeminier &amp; Johanson </w:t>
      </w:r>
      <w:r w:rsidR="00AB6885" w:rsidRPr="00AB6885">
        <w:rPr>
          <w:sz w:val="22"/>
          <w:szCs w:val="22"/>
          <w:u w:val="single"/>
        </w:rPr>
        <w:t>Wills, Trusts &amp; Estates</w:t>
      </w:r>
      <w:r w:rsidR="00AB6885">
        <w:rPr>
          <w:sz w:val="22"/>
          <w:szCs w:val="22"/>
        </w:rPr>
        <w:t xml:space="preserve"> casebook beg</w:t>
      </w:r>
      <w:r w:rsidR="008C6195">
        <w:rPr>
          <w:sz w:val="22"/>
          <w:szCs w:val="22"/>
        </w:rPr>
        <w:t>ins</w:t>
      </w:r>
      <w:r w:rsidR="00AB6885">
        <w:rPr>
          <w:sz w:val="22"/>
          <w:szCs w:val="22"/>
        </w:rPr>
        <w:t xml:space="preserve"> with a letter from </w:t>
      </w:r>
      <w:r w:rsidR="0010283C">
        <w:rPr>
          <w:sz w:val="22"/>
          <w:szCs w:val="22"/>
        </w:rPr>
        <w:t xml:space="preserve">prototypical </w:t>
      </w:r>
      <w:r w:rsidR="00AB6885">
        <w:rPr>
          <w:sz w:val="22"/>
          <w:szCs w:val="22"/>
        </w:rPr>
        <w:t xml:space="preserve">client Howard Brown: “Wendy and I now have very simple wills giving our property to each other in case of death and then to our children when the survivor of us dies…. We think our main objectives should be to avoid probate and eliminate as many inheritance taxes as possible.” We have always been able to tell Howard and Wendy that if they live in Texas, avoiding probate is not a concern because of our independent administration procedures. And now we can tell the Browns that they have absolutely no </w:t>
      </w:r>
      <w:r w:rsidRPr="00B13A48">
        <w:rPr>
          <w:sz w:val="22"/>
          <w:szCs w:val="22"/>
        </w:rPr>
        <w:t>concern about</w:t>
      </w:r>
      <w:r>
        <w:rPr>
          <w:sz w:val="22"/>
          <w:szCs w:val="22"/>
        </w:rPr>
        <w:t xml:space="preserve"> estate taxes</w:t>
      </w:r>
      <w:r w:rsidR="00AB6885">
        <w:rPr>
          <w:sz w:val="22"/>
          <w:szCs w:val="22"/>
        </w:rPr>
        <w:t xml:space="preserve">. Does that mean we can tell the Browns that they can and should stay with their current </w:t>
      </w:r>
      <w:r w:rsidR="0010283C">
        <w:rPr>
          <w:sz w:val="22"/>
          <w:szCs w:val="22"/>
        </w:rPr>
        <w:t>two</w:t>
      </w:r>
      <w:r>
        <w:rPr>
          <w:sz w:val="22"/>
          <w:szCs w:val="22"/>
        </w:rPr>
        <w:t xml:space="preserve"> t</w:t>
      </w:r>
      <w:r w:rsidR="00494E59">
        <w:rPr>
          <w:sz w:val="22"/>
          <w:szCs w:val="22"/>
        </w:rPr>
        <w:t>wo</w:t>
      </w:r>
      <w:r>
        <w:rPr>
          <w:sz w:val="22"/>
          <w:szCs w:val="22"/>
        </w:rPr>
        <w:t xml:space="preserve">-page wills? Absolutely not! </w:t>
      </w:r>
      <w:r w:rsidR="0010283C">
        <w:rPr>
          <w:sz w:val="22"/>
          <w:szCs w:val="22"/>
        </w:rPr>
        <w:t>For Howard and Wendy</w:t>
      </w:r>
      <w:r w:rsidR="008C6195">
        <w:rPr>
          <w:sz w:val="22"/>
          <w:szCs w:val="22"/>
        </w:rPr>
        <w:t xml:space="preserve"> Brown</w:t>
      </w:r>
      <w:r w:rsidR="0010283C">
        <w:rPr>
          <w:sz w:val="22"/>
          <w:szCs w:val="22"/>
        </w:rPr>
        <w:t xml:space="preserve">—and for </w:t>
      </w:r>
      <w:r w:rsidR="00E47D48">
        <w:rPr>
          <w:sz w:val="22"/>
          <w:szCs w:val="22"/>
        </w:rPr>
        <w:t>many, many</w:t>
      </w:r>
      <w:r w:rsidR="0010283C">
        <w:rPr>
          <w:sz w:val="22"/>
          <w:szCs w:val="22"/>
        </w:rPr>
        <w:t xml:space="preserve"> clients—trusts wil</w:t>
      </w:r>
      <w:r>
        <w:rPr>
          <w:sz w:val="22"/>
          <w:szCs w:val="22"/>
        </w:rPr>
        <w:t xml:space="preserve">l continue to be </w:t>
      </w:r>
      <w:r w:rsidR="009A2C9F">
        <w:rPr>
          <w:sz w:val="22"/>
          <w:szCs w:val="22"/>
        </w:rPr>
        <w:t>an integral</w:t>
      </w:r>
      <w:r>
        <w:rPr>
          <w:sz w:val="22"/>
          <w:szCs w:val="22"/>
        </w:rPr>
        <w:t xml:space="preserve"> part of a good estate plan.</w:t>
      </w:r>
    </w:p>
    <w:p w:rsidR="00B13A48" w:rsidRDefault="00B13A48" w:rsidP="00B13A48">
      <w:pPr>
        <w:spacing w:line="240" w:lineRule="atLeast"/>
        <w:ind w:left="540" w:hanging="540"/>
        <w:rPr>
          <w:sz w:val="22"/>
          <w:szCs w:val="22"/>
        </w:rPr>
      </w:pPr>
    </w:p>
    <w:p w:rsidR="00494E59" w:rsidRDefault="00B13A48" w:rsidP="00494E59">
      <w:pPr>
        <w:spacing w:line="240" w:lineRule="atLeast"/>
        <w:ind w:left="1080" w:hanging="540"/>
        <w:rPr>
          <w:sz w:val="22"/>
          <w:szCs w:val="22"/>
        </w:rPr>
      </w:pPr>
      <w:r>
        <w:rPr>
          <w:sz w:val="22"/>
          <w:szCs w:val="22"/>
        </w:rPr>
        <w:t>1.</w:t>
      </w:r>
      <w:r>
        <w:rPr>
          <w:sz w:val="22"/>
          <w:szCs w:val="22"/>
        </w:rPr>
        <w:tab/>
      </w:r>
      <w:r w:rsidRPr="00B13A48">
        <w:rPr>
          <w:b/>
          <w:sz w:val="22"/>
          <w:szCs w:val="22"/>
        </w:rPr>
        <w:t>A history lesson</w:t>
      </w:r>
      <w:r w:rsidR="004E1335" w:rsidRPr="005128CD">
        <w:rPr>
          <w:sz w:val="22"/>
          <w:szCs w:val="22"/>
        </w:rPr>
        <w:t>.</w:t>
      </w:r>
      <w:r w:rsidRPr="005128CD">
        <w:rPr>
          <w:sz w:val="22"/>
          <w:szCs w:val="22"/>
        </w:rPr>
        <w:t xml:space="preserve"> </w:t>
      </w:r>
      <w:r w:rsidR="00494E59">
        <w:rPr>
          <w:sz w:val="22"/>
          <w:szCs w:val="22"/>
        </w:rPr>
        <w:t xml:space="preserve">Prior to the 1970s, </w:t>
      </w:r>
      <w:r w:rsidR="00165002">
        <w:rPr>
          <w:sz w:val="22"/>
          <w:szCs w:val="22"/>
        </w:rPr>
        <w:t xml:space="preserve">when </w:t>
      </w:r>
      <w:r w:rsidR="00BF4207">
        <w:rPr>
          <w:sz w:val="22"/>
          <w:szCs w:val="22"/>
        </w:rPr>
        <w:t xml:space="preserve">one could buy </w:t>
      </w:r>
      <w:r w:rsidR="00165002">
        <w:rPr>
          <w:sz w:val="22"/>
          <w:szCs w:val="22"/>
        </w:rPr>
        <w:t xml:space="preserve">a nice three-bedroom house for $20,000 to $30,000, </w:t>
      </w:r>
      <w:r w:rsidR="00494E59">
        <w:rPr>
          <w:sz w:val="22"/>
          <w:szCs w:val="22"/>
        </w:rPr>
        <w:t xml:space="preserve">the $60,000 exemption eliminated </w:t>
      </w:r>
      <w:r w:rsidR="00A67262">
        <w:rPr>
          <w:sz w:val="22"/>
          <w:szCs w:val="22"/>
        </w:rPr>
        <w:t xml:space="preserve">all </w:t>
      </w:r>
      <w:r w:rsidR="00494E59">
        <w:rPr>
          <w:sz w:val="22"/>
          <w:szCs w:val="22"/>
        </w:rPr>
        <w:t>estate tax concerns for many clients. Two-page (“I love you, you love me”) wills were common, and</w:t>
      </w:r>
      <w:r w:rsidR="00165002">
        <w:rPr>
          <w:sz w:val="22"/>
          <w:szCs w:val="22"/>
        </w:rPr>
        <w:t xml:space="preserve"> were seen as doing</w:t>
      </w:r>
      <w:r w:rsidR="00494E59">
        <w:rPr>
          <w:sz w:val="22"/>
          <w:szCs w:val="22"/>
        </w:rPr>
        <w:t xml:space="preserve"> the job </w:t>
      </w:r>
      <w:r w:rsidR="00494E59">
        <w:rPr>
          <w:sz w:val="22"/>
          <w:szCs w:val="22"/>
        </w:rPr>
        <w:lastRenderedPageBreak/>
        <w:t>reasonably well</w:t>
      </w:r>
      <w:r w:rsidR="00165002">
        <w:rPr>
          <w:sz w:val="22"/>
          <w:szCs w:val="22"/>
        </w:rPr>
        <w:t>—or at least adequately. In Texas (and in most of the states</w:t>
      </w:r>
      <w:r w:rsidR="00A67262">
        <w:rPr>
          <w:sz w:val="22"/>
          <w:szCs w:val="22"/>
        </w:rPr>
        <w:t xml:space="preserve"> outside the East Coast</w:t>
      </w:r>
      <w:r w:rsidR="00165002">
        <w:rPr>
          <w:sz w:val="22"/>
          <w:szCs w:val="22"/>
        </w:rPr>
        <w:t xml:space="preserve">), inter </w:t>
      </w:r>
      <w:proofErr w:type="spellStart"/>
      <w:r w:rsidR="00165002">
        <w:rPr>
          <w:sz w:val="22"/>
          <w:szCs w:val="22"/>
        </w:rPr>
        <w:t>vivos</w:t>
      </w:r>
      <w:proofErr w:type="spellEnd"/>
      <w:r w:rsidR="00165002">
        <w:rPr>
          <w:sz w:val="22"/>
          <w:szCs w:val="22"/>
        </w:rPr>
        <w:t xml:space="preserve"> and testamentary</w:t>
      </w:r>
      <w:r w:rsidR="0010283C">
        <w:rPr>
          <w:sz w:val="22"/>
          <w:szCs w:val="22"/>
        </w:rPr>
        <w:t xml:space="preserve"> trusts</w:t>
      </w:r>
      <w:r w:rsidR="00165002">
        <w:rPr>
          <w:sz w:val="22"/>
          <w:szCs w:val="22"/>
        </w:rPr>
        <w:t xml:space="preserve"> wer</w:t>
      </w:r>
      <w:r w:rsidR="00494E59">
        <w:rPr>
          <w:sz w:val="22"/>
          <w:szCs w:val="22"/>
        </w:rPr>
        <w:t xml:space="preserve">e </w:t>
      </w:r>
      <w:r w:rsidR="00165002">
        <w:rPr>
          <w:sz w:val="22"/>
          <w:szCs w:val="22"/>
        </w:rPr>
        <w:t xml:space="preserve">rarely </w:t>
      </w:r>
      <w:r w:rsidR="008C6195">
        <w:rPr>
          <w:sz w:val="22"/>
          <w:szCs w:val="22"/>
        </w:rPr>
        <w:t>creat</w:t>
      </w:r>
      <w:r w:rsidR="00165002">
        <w:rPr>
          <w:sz w:val="22"/>
          <w:szCs w:val="22"/>
        </w:rPr>
        <w:t>ed</w:t>
      </w:r>
      <w:r w:rsidR="00A67262">
        <w:rPr>
          <w:sz w:val="22"/>
          <w:szCs w:val="22"/>
        </w:rPr>
        <w:t>, and then only for wealthy clients</w:t>
      </w:r>
      <w:r w:rsidR="00165002">
        <w:rPr>
          <w:sz w:val="22"/>
          <w:szCs w:val="22"/>
        </w:rPr>
        <w:t xml:space="preserve">. </w:t>
      </w:r>
      <w:r w:rsidR="00A67262">
        <w:rPr>
          <w:sz w:val="22"/>
          <w:szCs w:val="22"/>
        </w:rPr>
        <w:t xml:space="preserve">The Trust Code </w:t>
      </w:r>
      <w:r w:rsidR="00BF4207">
        <w:rPr>
          <w:sz w:val="22"/>
          <w:szCs w:val="22"/>
        </w:rPr>
        <w:t>section</w:t>
      </w:r>
      <w:r w:rsidR="00A67262">
        <w:rPr>
          <w:sz w:val="22"/>
          <w:szCs w:val="22"/>
        </w:rPr>
        <w:t xml:space="preserve"> of </w:t>
      </w:r>
      <w:proofErr w:type="spellStart"/>
      <w:r w:rsidR="00165002" w:rsidRPr="00165002">
        <w:rPr>
          <w:sz w:val="22"/>
          <w:szCs w:val="22"/>
          <w:u w:val="single"/>
        </w:rPr>
        <w:t>Johanson’s</w:t>
      </w:r>
      <w:proofErr w:type="spellEnd"/>
      <w:r w:rsidR="00165002" w:rsidRPr="00165002">
        <w:rPr>
          <w:sz w:val="22"/>
          <w:szCs w:val="22"/>
          <w:u w:val="single"/>
        </w:rPr>
        <w:t xml:space="preserve"> Texas Estates Code Annotated</w:t>
      </w:r>
      <w:r w:rsidR="00165002">
        <w:rPr>
          <w:sz w:val="22"/>
          <w:szCs w:val="22"/>
        </w:rPr>
        <w:t xml:space="preserve"> (201</w:t>
      </w:r>
      <w:r w:rsidR="00BF4207">
        <w:rPr>
          <w:sz w:val="22"/>
          <w:szCs w:val="22"/>
        </w:rPr>
        <w:t>8</w:t>
      </w:r>
      <w:r w:rsidR="00165002">
        <w:rPr>
          <w:sz w:val="22"/>
          <w:szCs w:val="22"/>
        </w:rPr>
        <w:t xml:space="preserve"> ed.) cites </w:t>
      </w:r>
      <w:r w:rsidR="00507F2A">
        <w:rPr>
          <w:sz w:val="22"/>
          <w:szCs w:val="22"/>
        </w:rPr>
        <w:t>only</w:t>
      </w:r>
      <w:r w:rsidR="00A67262">
        <w:rPr>
          <w:sz w:val="22"/>
          <w:szCs w:val="22"/>
        </w:rPr>
        <w:t xml:space="preserve"> </w:t>
      </w:r>
      <w:r w:rsidR="00165002">
        <w:rPr>
          <w:sz w:val="22"/>
          <w:szCs w:val="22"/>
        </w:rPr>
        <w:t xml:space="preserve">24 cases </w:t>
      </w:r>
      <w:r w:rsidR="00A67262">
        <w:rPr>
          <w:sz w:val="22"/>
          <w:szCs w:val="22"/>
        </w:rPr>
        <w:t xml:space="preserve">involving Texas trusts </w:t>
      </w:r>
      <w:r w:rsidR="00165002">
        <w:rPr>
          <w:sz w:val="22"/>
          <w:szCs w:val="22"/>
        </w:rPr>
        <w:t>decided before 1950. (That doesn’t count cases involving constructive trusts or resulting trusts, which aren’t really trusts.)</w:t>
      </w:r>
      <w:r w:rsidR="0010283C">
        <w:rPr>
          <w:sz w:val="22"/>
          <w:szCs w:val="22"/>
        </w:rPr>
        <w:t xml:space="preserve"> The cases that </w:t>
      </w:r>
      <w:r w:rsidR="009A2C9F">
        <w:rPr>
          <w:sz w:val="22"/>
          <w:szCs w:val="22"/>
        </w:rPr>
        <w:t xml:space="preserve">made modern </w:t>
      </w:r>
      <w:r w:rsidR="0010283C">
        <w:rPr>
          <w:sz w:val="22"/>
          <w:szCs w:val="22"/>
        </w:rPr>
        <w:t xml:space="preserve">Trust law cases </w:t>
      </w:r>
      <w:r w:rsidR="009A2C9F">
        <w:rPr>
          <w:sz w:val="22"/>
          <w:szCs w:val="22"/>
        </w:rPr>
        <w:t>came from states like Massachusetts and New York, not Texas.</w:t>
      </w:r>
      <w:r w:rsidR="0010283C">
        <w:rPr>
          <w:sz w:val="22"/>
          <w:szCs w:val="22"/>
        </w:rPr>
        <w:t xml:space="preserve"> </w:t>
      </w:r>
    </w:p>
    <w:p w:rsidR="00494E59" w:rsidRDefault="00494E59" w:rsidP="00B13A48">
      <w:pPr>
        <w:spacing w:line="240" w:lineRule="atLeast"/>
        <w:ind w:left="1080" w:hanging="540"/>
        <w:rPr>
          <w:sz w:val="22"/>
          <w:szCs w:val="22"/>
        </w:rPr>
      </w:pPr>
    </w:p>
    <w:p w:rsidR="0010283C" w:rsidRDefault="00165002" w:rsidP="00165002">
      <w:pPr>
        <w:spacing w:line="240" w:lineRule="atLeast"/>
        <w:ind w:left="1613" w:hanging="540"/>
        <w:rPr>
          <w:sz w:val="22"/>
          <w:szCs w:val="22"/>
        </w:rPr>
      </w:pPr>
      <w:r>
        <w:rPr>
          <w:sz w:val="22"/>
          <w:szCs w:val="22"/>
        </w:rPr>
        <w:t>a.</w:t>
      </w:r>
      <w:r>
        <w:rPr>
          <w:sz w:val="22"/>
          <w:szCs w:val="22"/>
        </w:rPr>
        <w:tab/>
      </w:r>
      <w:r w:rsidR="00231B79">
        <w:rPr>
          <w:sz w:val="22"/>
          <w:szCs w:val="22"/>
        </w:rPr>
        <w:t>By the mid-1970s, though, that same house was worth $60,000 to $80,000—meaning that one asset in the client’s estate would “use up” the $60,000 exemption. If the client had a couple of life insurance policies and a pension plan, eliminating or at least tamping down the estate tax became a concern</w:t>
      </w:r>
      <w:r w:rsidR="00507F2A">
        <w:rPr>
          <w:sz w:val="22"/>
          <w:szCs w:val="22"/>
        </w:rPr>
        <w:t>—even for clients with relatively modest estates</w:t>
      </w:r>
      <w:r w:rsidR="00231B79">
        <w:rPr>
          <w:sz w:val="22"/>
          <w:szCs w:val="22"/>
        </w:rPr>
        <w:t xml:space="preserve">. </w:t>
      </w:r>
      <w:r w:rsidR="00A67262">
        <w:rPr>
          <w:sz w:val="22"/>
          <w:szCs w:val="22"/>
        </w:rPr>
        <w:t>Al</w:t>
      </w:r>
      <w:r>
        <w:rPr>
          <w:sz w:val="22"/>
          <w:szCs w:val="22"/>
        </w:rPr>
        <w:t>though</w:t>
      </w:r>
      <w:r w:rsidR="00BF4207">
        <w:rPr>
          <w:sz w:val="22"/>
          <w:szCs w:val="22"/>
        </w:rPr>
        <w:t xml:space="preserve"> the exemption was increased in 1976 (phased in gradually, to </w:t>
      </w:r>
      <w:r>
        <w:rPr>
          <w:sz w:val="22"/>
          <w:szCs w:val="22"/>
        </w:rPr>
        <w:t xml:space="preserve">$175,625 </w:t>
      </w:r>
      <w:r w:rsidR="00BF4207">
        <w:rPr>
          <w:sz w:val="22"/>
          <w:szCs w:val="22"/>
        </w:rPr>
        <w:t xml:space="preserve">in 1981) </w:t>
      </w:r>
      <w:r>
        <w:rPr>
          <w:sz w:val="22"/>
          <w:szCs w:val="22"/>
        </w:rPr>
        <w:t>and then to $600,000</w:t>
      </w:r>
      <w:r w:rsidR="00BF4207">
        <w:rPr>
          <w:sz w:val="22"/>
          <w:szCs w:val="22"/>
        </w:rPr>
        <w:t xml:space="preserve"> </w:t>
      </w:r>
      <w:r w:rsidR="00B96A4B">
        <w:rPr>
          <w:sz w:val="22"/>
          <w:szCs w:val="22"/>
        </w:rPr>
        <w:t xml:space="preserve">in 1981 </w:t>
      </w:r>
      <w:r w:rsidR="00BF4207">
        <w:rPr>
          <w:sz w:val="22"/>
          <w:szCs w:val="22"/>
        </w:rPr>
        <w:t>(again, phased in gradually)</w:t>
      </w:r>
      <w:r>
        <w:rPr>
          <w:sz w:val="22"/>
          <w:szCs w:val="22"/>
        </w:rPr>
        <w:t>,</w:t>
      </w:r>
      <w:r w:rsidR="004E1335">
        <w:rPr>
          <w:sz w:val="22"/>
          <w:szCs w:val="22"/>
        </w:rPr>
        <w:t xml:space="preserve"> </w:t>
      </w:r>
      <w:r w:rsidR="00A67262">
        <w:rPr>
          <w:sz w:val="22"/>
          <w:szCs w:val="22"/>
        </w:rPr>
        <w:t>for many clients a planning objective was to reduce if not wholly eliminate taxes on the death of the client and his or her spouse</w:t>
      </w:r>
      <w:r w:rsidR="0010283C">
        <w:rPr>
          <w:sz w:val="22"/>
          <w:szCs w:val="22"/>
        </w:rPr>
        <w:t>.</w:t>
      </w:r>
    </w:p>
    <w:p w:rsidR="00A67262" w:rsidRDefault="00A67262" w:rsidP="00165002">
      <w:pPr>
        <w:spacing w:line="240" w:lineRule="atLeast"/>
        <w:ind w:left="1613" w:hanging="540"/>
        <w:rPr>
          <w:sz w:val="22"/>
          <w:szCs w:val="22"/>
        </w:rPr>
      </w:pPr>
      <w:r>
        <w:rPr>
          <w:sz w:val="22"/>
          <w:szCs w:val="22"/>
        </w:rPr>
        <w:t xml:space="preserve"> </w:t>
      </w:r>
    </w:p>
    <w:p w:rsidR="004E1335" w:rsidRDefault="00A67262" w:rsidP="004E1335">
      <w:pPr>
        <w:pStyle w:val="Heading20"/>
        <w:tabs>
          <w:tab w:val="left" w:pos="540"/>
        </w:tabs>
        <w:spacing w:line="240" w:lineRule="exact"/>
        <w:ind w:left="1620" w:hanging="547"/>
      </w:pPr>
      <w:r>
        <w:t>b</w:t>
      </w:r>
      <w:r w:rsidR="004E1335">
        <w:t>.</w:t>
      </w:r>
      <w:r w:rsidR="004E1335">
        <w:tab/>
      </w:r>
      <w:r w:rsidR="00507F2A">
        <w:t>While t</w:t>
      </w:r>
      <w:r w:rsidR="004E1335">
        <w:t>he initial or primary motivation for the use of bypass trusts was to provid</w:t>
      </w:r>
      <w:r>
        <w:t>e</w:t>
      </w:r>
      <w:r w:rsidR="004E1335">
        <w:t xml:space="preserve"> economic benefits to the spouse or child without estate tax cost, clients </w:t>
      </w:r>
      <w:r w:rsidR="00507F2A">
        <w:t>(</w:t>
      </w:r>
      <w:r w:rsidR="004E1335">
        <w:t xml:space="preserve">and their </w:t>
      </w:r>
      <w:r w:rsidR="00507F2A">
        <w:t>attorneys)</w:t>
      </w:r>
      <w:r w:rsidR="004E1335">
        <w:t xml:space="preserve"> came to realize, and appreciate, the myriad non-tax benefits of a trust settlement</w:t>
      </w:r>
      <w:r w:rsidR="00507F2A">
        <w:t>. These included</w:t>
      </w:r>
      <w:r w:rsidR="004E1335">
        <w:t xml:space="preserve"> creditor protection through the use of spendthrift provisi</w:t>
      </w:r>
      <w:r w:rsidR="00507F2A">
        <w:t>ons, avoidance of guardianship i</w:t>
      </w:r>
      <w:r w:rsidR="004E1335">
        <w:t xml:space="preserve">f the </w:t>
      </w:r>
      <w:r w:rsidR="00507F2A">
        <w:t>spouse</w:t>
      </w:r>
      <w:r w:rsidR="004E1335">
        <w:t xml:space="preserve"> lost </w:t>
      </w:r>
      <w:r w:rsidR="00BF4207">
        <w:t xml:space="preserve">his or </w:t>
      </w:r>
      <w:r w:rsidR="004E1335">
        <w:t>her capacity, control over the scope of the beneficiary’s interest, and control of the remainder interest by giving the beneficiary (at most) a limited test</w:t>
      </w:r>
      <w:r w:rsidR="00507F2A">
        <w:t xml:space="preserve">amentary power of appointment. Middle-America clients also came to realize that </w:t>
      </w:r>
      <w:r w:rsidR="004E1335">
        <w:t>trust</w:t>
      </w:r>
      <w:r w:rsidR="00507F2A">
        <w:t>s for descendants also</w:t>
      </w:r>
      <w:r w:rsidR="004E1335">
        <w:t xml:space="preserve"> could provide </w:t>
      </w:r>
      <w:r>
        <w:t>substantial non-tax benefits</w:t>
      </w:r>
      <w:r w:rsidR="004E1335">
        <w:t>.</w:t>
      </w:r>
    </w:p>
    <w:p w:rsidR="00284247" w:rsidRDefault="00284247" w:rsidP="004E1335">
      <w:pPr>
        <w:pStyle w:val="Heading20"/>
        <w:tabs>
          <w:tab w:val="left" w:pos="540"/>
        </w:tabs>
        <w:spacing w:line="240" w:lineRule="exact"/>
        <w:ind w:left="1620" w:hanging="547"/>
      </w:pPr>
    </w:p>
    <w:p w:rsidR="00284247" w:rsidRDefault="00284247" w:rsidP="004E1335">
      <w:pPr>
        <w:pStyle w:val="Heading20"/>
        <w:tabs>
          <w:tab w:val="left" w:pos="540"/>
        </w:tabs>
        <w:spacing w:line="240" w:lineRule="exact"/>
        <w:ind w:left="1620" w:hanging="547"/>
      </w:pPr>
      <w:r>
        <w:t>c.</w:t>
      </w:r>
      <w:r>
        <w:tab/>
        <w:t>For these non-tax reasons, it is strongly advisable that the estate plans of those “mere millionaire” clients include trusts that will benefit the clients’ surviving family members.</w:t>
      </w:r>
    </w:p>
    <w:p w:rsidR="00A67262" w:rsidRDefault="00A67262" w:rsidP="00B13A48">
      <w:pPr>
        <w:ind w:left="1080" w:hanging="540"/>
        <w:rPr>
          <w:sz w:val="22"/>
          <w:szCs w:val="22"/>
        </w:rPr>
      </w:pPr>
    </w:p>
    <w:p w:rsidR="009A2C9F" w:rsidRDefault="005128CD" w:rsidP="00B13A48">
      <w:pPr>
        <w:ind w:left="1080" w:hanging="540"/>
        <w:rPr>
          <w:sz w:val="22"/>
          <w:szCs w:val="22"/>
        </w:rPr>
      </w:pPr>
      <w:r>
        <w:rPr>
          <w:sz w:val="22"/>
          <w:szCs w:val="22"/>
        </w:rPr>
        <w:t>2</w:t>
      </w:r>
      <w:r w:rsidR="00B13A48" w:rsidRPr="003F082B">
        <w:rPr>
          <w:sz w:val="22"/>
          <w:szCs w:val="22"/>
        </w:rPr>
        <w:t>.</w:t>
      </w:r>
      <w:r w:rsidR="00B13A48" w:rsidRPr="003F082B">
        <w:rPr>
          <w:sz w:val="22"/>
          <w:szCs w:val="22"/>
        </w:rPr>
        <w:tab/>
      </w:r>
      <w:r w:rsidR="00B13A48" w:rsidRPr="003F082B">
        <w:rPr>
          <w:b/>
          <w:sz w:val="22"/>
          <w:szCs w:val="22"/>
        </w:rPr>
        <w:t>Bypass trusts for spouses</w:t>
      </w:r>
      <w:r w:rsidR="00B13A48" w:rsidRPr="003F082B">
        <w:rPr>
          <w:sz w:val="22"/>
          <w:szCs w:val="22"/>
        </w:rPr>
        <w:t>. For a couple in their 40s</w:t>
      </w:r>
      <w:r w:rsidR="00B13A48">
        <w:rPr>
          <w:sz w:val="22"/>
          <w:szCs w:val="22"/>
        </w:rPr>
        <w:t xml:space="preserve"> (</w:t>
      </w:r>
      <w:r w:rsidR="00B13A48" w:rsidRPr="003F082B">
        <w:rPr>
          <w:sz w:val="22"/>
          <w:szCs w:val="22"/>
        </w:rPr>
        <w:t>or 50s, or 60s, or</w:t>
      </w:r>
      <w:r w:rsidR="00B13A48">
        <w:rPr>
          <w:sz w:val="22"/>
          <w:szCs w:val="22"/>
        </w:rPr>
        <w:t xml:space="preserve"> </w:t>
      </w:r>
      <w:r w:rsidR="00B13A48" w:rsidRPr="003F082B">
        <w:rPr>
          <w:sz w:val="22"/>
          <w:szCs w:val="22"/>
        </w:rPr>
        <w:t>70s</w:t>
      </w:r>
      <w:r w:rsidR="00B13A48">
        <w:rPr>
          <w:sz w:val="22"/>
          <w:szCs w:val="22"/>
        </w:rPr>
        <w:t>)</w:t>
      </w:r>
      <w:r w:rsidR="00B13A48" w:rsidRPr="003F082B">
        <w:rPr>
          <w:sz w:val="22"/>
          <w:szCs w:val="22"/>
        </w:rPr>
        <w:t>, bypass trust</w:t>
      </w:r>
      <w:r w:rsidR="00B13A48">
        <w:rPr>
          <w:sz w:val="22"/>
          <w:szCs w:val="22"/>
        </w:rPr>
        <w:t>s</w:t>
      </w:r>
      <w:r w:rsidR="00507F2A">
        <w:rPr>
          <w:sz w:val="22"/>
          <w:szCs w:val="22"/>
        </w:rPr>
        <w:t>, which</w:t>
      </w:r>
      <w:r w:rsidR="00B13A48">
        <w:rPr>
          <w:sz w:val="22"/>
          <w:szCs w:val="22"/>
        </w:rPr>
        <w:t xml:space="preserve"> give the spouse a life income interest and limited invasion powers over trust principal</w:t>
      </w:r>
      <w:r w:rsidR="00507F2A">
        <w:rPr>
          <w:sz w:val="22"/>
          <w:szCs w:val="22"/>
        </w:rPr>
        <w:t xml:space="preserve">, </w:t>
      </w:r>
      <w:r w:rsidR="00B13A48">
        <w:rPr>
          <w:sz w:val="22"/>
          <w:szCs w:val="22"/>
        </w:rPr>
        <w:t xml:space="preserve">continue </w:t>
      </w:r>
      <w:r w:rsidR="00B13A48" w:rsidRPr="003F082B">
        <w:rPr>
          <w:sz w:val="22"/>
          <w:szCs w:val="22"/>
        </w:rPr>
        <w:t>to be important even if there are n</w:t>
      </w:r>
      <w:r w:rsidR="00B13A48">
        <w:rPr>
          <w:sz w:val="22"/>
          <w:szCs w:val="22"/>
        </w:rPr>
        <w:t>ever going to be any</w:t>
      </w:r>
      <w:r w:rsidR="00B13A48" w:rsidRPr="003F082B">
        <w:rPr>
          <w:sz w:val="22"/>
          <w:szCs w:val="22"/>
        </w:rPr>
        <w:t xml:space="preserve"> estate taxes to bypass</w:t>
      </w:r>
      <w:r w:rsidR="00A67262">
        <w:rPr>
          <w:sz w:val="22"/>
          <w:szCs w:val="22"/>
        </w:rPr>
        <w:t xml:space="preserve">. </w:t>
      </w:r>
      <w:r w:rsidR="009333D2">
        <w:rPr>
          <w:sz w:val="22"/>
          <w:szCs w:val="22"/>
        </w:rPr>
        <w:t xml:space="preserve">A trust settlement </w:t>
      </w:r>
      <w:r w:rsidR="009A2C9F">
        <w:rPr>
          <w:sz w:val="22"/>
          <w:szCs w:val="22"/>
        </w:rPr>
        <w:t xml:space="preserve">is </w:t>
      </w:r>
      <w:r w:rsidR="00507F2A">
        <w:rPr>
          <w:sz w:val="22"/>
          <w:szCs w:val="22"/>
        </w:rPr>
        <w:t xml:space="preserve">overwhelmingly </w:t>
      </w:r>
      <w:r w:rsidR="009A2C9F">
        <w:rPr>
          <w:sz w:val="22"/>
          <w:szCs w:val="22"/>
        </w:rPr>
        <w:t>superior to an outright disposition for a number of reasons.</w:t>
      </w:r>
    </w:p>
    <w:p w:rsidR="00B13A48" w:rsidRPr="003F082B" w:rsidRDefault="00B13A48" w:rsidP="00B13A48">
      <w:pPr>
        <w:ind w:left="1080" w:hanging="540"/>
        <w:rPr>
          <w:sz w:val="22"/>
          <w:szCs w:val="22"/>
        </w:rPr>
      </w:pPr>
    </w:p>
    <w:p w:rsidR="00B13A48" w:rsidRPr="003F082B" w:rsidRDefault="00B13A48" w:rsidP="00B13A48">
      <w:pPr>
        <w:pStyle w:val="Heading20"/>
        <w:tabs>
          <w:tab w:val="left" w:pos="540"/>
        </w:tabs>
        <w:ind w:left="1634" w:hanging="547"/>
      </w:pPr>
      <w:r w:rsidRPr="003F082B">
        <w:t>a.</w:t>
      </w:r>
      <w:r w:rsidRPr="003F082B">
        <w:tab/>
        <w:t xml:space="preserve">A major concern is that </w:t>
      </w:r>
      <w:r w:rsidRPr="00B96A4B">
        <w:t>if the surviving spouse</w:t>
      </w:r>
      <w:r w:rsidRPr="009A2C9F">
        <w:rPr>
          <w:b/>
        </w:rPr>
        <w:t xml:space="preserve"> </w:t>
      </w:r>
      <w:r w:rsidRPr="00B96A4B">
        <w:t>later becomes</w:t>
      </w:r>
      <w:r w:rsidRPr="009A2C9F">
        <w:rPr>
          <w:b/>
        </w:rPr>
        <w:t xml:space="preserve"> incapacitated</w:t>
      </w:r>
      <w:r w:rsidRPr="003F082B">
        <w:t xml:space="preserve">, the result will be a costly and cumbersome guardianship administration. If instead the estate was left in trust—with the spouse serving as trustee </w:t>
      </w:r>
      <w:r w:rsidR="009333D2">
        <w:t xml:space="preserve">(or co-trustee) </w:t>
      </w:r>
      <w:r w:rsidRPr="003F082B">
        <w:t xml:space="preserve">for as long as </w:t>
      </w:r>
      <w:r>
        <w:t xml:space="preserve">her or </w:t>
      </w:r>
      <w:r w:rsidRPr="003F082B">
        <w:t>she is able and so inclined—a guardianship administration will be avoided.</w:t>
      </w:r>
    </w:p>
    <w:p w:rsidR="00B13A48" w:rsidRPr="003F082B" w:rsidRDefault="00B13A48" w:rsidP="00B13A48">
      <w:pPr>
        <w:pStyle w:val="Heading20"/>
        <w:tabs>
          <w:tab w:val="left" w:pos="540"/>
        </w:tabs>
        <w:ind w:left="1634" w:hanging="547"/>
      </w:pPr>
    </w:p>
    <w:p w:rsidR="009333D2" w:rsidRDefault="009333D2" w:rsidP="009A2C9F">
      <w:pPr>
        <w:pStyle w:val="Heading20"/>
        <w:tabs>
          <w:tab w:val="left" w:pos="540"/>
        </w:tabs>
        <w:ind w:left="1634" w:hanging="547"/>
      </w:pPr>
      <w:r>
        <w:t>b.</w:t>
      </w:r>
      <w:r>
        <w:tab/>
        <w:t xml:space="preserve">A trust gives </w:t>
      </w:r>
      <w:r w:rsidRPr="009A2C9F">
        <w:rPr>
          <w:b/>
        </w:rPr>
        <w:t>spendthrift protection</w:t>
      </w:r>
      <w:r>
        <w:t xml:space="preserve"> against creditors’ claims. </w:t>
      </w:r>
      <w:r w:rsidR="009A2C9F">
        <w:t>Yes, but are potential creditors’ claims a real concern for a</w:t>
      </w:r>
      <w:r w:rsidR="00507F2A">
        <w:t xml:space="preserve"> </w:t>
      </w:r>
      <w:r w:rsidR="009A2C9F">
        <w:t xml:space="preserve">75-year-old retiree who has a modest lifestyle and doesn’t drive motorcycles? How likely is it that there will </w:t>
      </w:r>
      <w:r w:rsidR="009A2C9F" w:rsidRPr="009333D2">
        <w:rPr>
          <w:i/>
        </w:rPr>
        <w:t xml:space="preserve">be </w:t>
      </w:r>
      <w:r w:rsidR="009A2C9F">
        <w:t xml:space="preserve">any creditors’ claims to be concerned about? Mr. Murphy (of Murphy’s Law fame) provides the answer to those who would </w:t>
      </w:r>
      <w:r w:rsidR="00507F2A">
        <w:t>see</w:t>
      </w:r>
      <w:r w:rsidR="009A2C9F">
        <w:t xml:space="preserve"> spendthrift protection</w:t>
      </w:r>
      <w:r w:rsidR="00507F2A">
        <w:t xml:space="preserve"> as unnecessary</w:t>
      </w:r>
      <w:r w:rsidR="009A2C9F">
        <w:t>: “If anything can go wrong it will, and in the worst possible way.”</w:t>
      </w:r>
    </w:p>
    <w:p w:rsidR="009333D2" w:rsidRDefault="009333D2" w:rsidP="009333D2">
      <w:pPr>
        <w:pStyle w:val="Heading20"/>
        <w:tabs>
          <w:tab w:val="left" w:pos="540"/>
        </w:tabs>
        <w:ind w:left="1634" w:hanging="547"/>
      </w:pPr>
    </w:p>
    <w:p w:rsidR="00B13A48" w:rsidRDefault="009333D2" w:rsidP="00B13A48">
      <w:pPr>
        <w:pStyle w:val="Heading20"/>
        <w:tabs>
          <w:tab w:val="left" w:pos="540"/>
        </w:tabs>
        <w:ind w:left="1634" w:hanging="547"/>
      </w:pPr>
      <w:r>
        <w:t>c</w:t>
      </w:r>
      <w:r w:rsidR="00B13A48" w:rsidRPr="003F082B">
        <w:t>.</w:t>
      </w:r>
      <w:r w:rsidR="00B13A48" w:rsidRPr="003F082B">
        <w:tab/>
        <w:t xml:space="preserve">A trust settlement assures that </w:t>
      </w:r>
      <w:r w:rsidR="009A2C9F" w:rsidRPr="009A2C9F">
        <w:rPr>
          <w:b/>
        </w:rPr>
        <w:t>on the</w:t>
      </w:r>
      <w:r w:rsidR="009A2C9F">
        <w:t xml:space="preserve"> </w:t>
      </w:r>
      <w:r w:rsidR="009A2C9F" w:rsidRPr="009A2C9F">
        <w:rPr>
          <w:b/>
        </w:rPr>
        <w:t>spouse’s</w:t>
      </w:r>
      <w:r w:rsidR="009A2C9F">
        <w:rPr>
          <w:b/>
        </w:rPr>
        <w:t xml:space="preserve"> death</w:t>
      </w:r>
      <w:r w:rsidR="009A2C9F" w:rsidRPr="009A2C9F">
        <w:rPr>
          <w:b/>
        </w:rPr>
        <w:t xml:space="preserve"> </w:t>
      </w:r>
      <w:r w:rsidR="00B13A48" w:rsidRPr="009A2C9F">
        <w:rPr>
          <w:b/>
        </w:rPr>
        <w:t>the remainder interest will pass to the children</w:t>
      </w:r>
      <w:r w:rsidR="00B13A48" w:rsidRPr="003F082B">
        <w:t xml:space="preserve">, rather than to that dreaded </w:t>
      </w:r>
      <w:r>
        <w:t xml:space="preserve">“personal trainer” </w:t>
      </w:r>
      <w:r w:rsidR="00B13A48" w:rsidRPr="003F082B">
        <w:t>second husband</w:t>
      </w:r>
      <w:r w:rsidR="00B13A48">
        <w:t>, that trophy second wife, or that too-solicitous caretaker</w:t>
      </w:r>
      <w:r w:rsidR="00B13A48" w:rsidRPr="003F082B">
        <w:t>.</w:t>
      </w:r>
    </w:p>
    <w:p w:rsidR="00A67262" w:rsidRDefault="00A67262" w:rsidP="00B13A48">
      <w:pPr>
        <w:pStyle w:val="Heading20"/>
        <w:tabs>
          <w:tab w:val="left" w:pos="540"/>
        </w:tabs>
        <w:ind w:left="1634" w:hanging="547"/>
      </w:pPr>
    </w:p>
    <w:p w:rsidR="00B13A48" w:rsidRPr="003F082B" w:rsidRDefault="00F8632A" w:rsidP="00B13A48">
      <w:pPr>
        <w:pStyle w:val="Heading20"/>
        <w:tabs>
          <w:tab w:val="left" w:pos="540"/>
        </w:tabs>
        <w:ind w:left="1634" w:hanging="547"/>
      </w:pPr>
      <w:r>
        <w:lastRenderedPageBreak/>
        <w:t>d</w:t>
      </w:r>
      <w:r w:rsidR="00B13A48">
        <w:t>.</w:t>
      </w:r>
      <w:r w:rsidR="00B13A48">
        <w:tab/>
        <w:t xml:space="preserve">A trust </w:t>
      </w:r>
      <w:r>
        <w:t>can and shoul</w:t>
      </w:r>
      <w:r w:rsidR="00B13A48">
        <w:t xml:space="preserve">d give the spouse a </w:t>
      </w:r>
      <w:r w:rsidR="00B13A48" w:rsidRPr="009A2C9F">
        <w:rPr>
          <w:b/>
        </w:rPr>
        <w:t>special testamentary power of appointment</w:t>
      </w:r>
      <w:r>
        <w:t xml:space="preserve">—the </w:t>
      </w:r>
      <w:r w:rsidR="00B13A48">
        <w:t>power to appoint the trust property (</w:t>
      </w:r>
      <w:r w:rsidR="00B13A48" w:rsidRPr="0092479F">
        <w:rPr>
          <w:i/>
        </w:rPr>
        <w:t>e.g.</w:t>
      </w:r>
      <w:r w:rsidR="00B13A48">
        <w:t xml:space="preserve">,) “outright or in further trust to such one or more of my descendants as survive me.” Professor Ed </w:t>
      </w:r>
      <w:proofErr w:type="spellStart"/>
      <w:r w:rsidR="00B13A48">
        <w:t>Halbach</w:t>
      </w:r>
      <w:proofErr w:type="spellEnd"/>
      <w:r w:rsidR="00B13A48">
        <w:t xml:space="preserve"> (University of California) has noted that a power to appoint also give</w:t>
      </w:r>
      <w:r w:rsidR="00507F2A">
        <w:t>s</w:t>
      </w:r>
      <w:r w:rsidR="00B13A48">
        <w:t xml:space="preserve"> the power to </w:t>
      </w:r>
      <w:r w:rsidR="00B13A48" w:rsidRPr="00507F2A">
        <w:rPr>
          <w:i/>
        </w:rPr>
        <w:t>dis</w:t>
      </w:r>
      <w:r w:rsidR="00B13A48">
        <w:t>appoint, and tend</w:t>
      </w:r>
      <w:r w:rsidR="00507F2A">
        <w:t>s</w:t>
      </w:r>
      <w:r w:rsidR="00B13A48">
        <w:t xml:space="preserve"> to insure filial devotion: If an elderly mother or grand</w:t>
      </w:r>
      <w:r w:rsidR="00507F2A">
        <w:t>fa</w:t>
      </w:r>
      <w:r w:rsidR="00B13A48">
        <w:t>ther has a special testamentary power to appoint $2 million</w:t>
      </w:r>
      <w:r>
        <w:t xml:space="preserve"> in assets</w:t>
      </w:r>
      <w:r w:rsidR="00B13A48">
        <w:t>, how likely is it that</w:t>
      </w:r>
      <w:r w:rsidR="00507F2A">
        <w:t xml:space="preserve"> he or</w:t>
      </w:r>
      <w:r w:rsidR="00B13A48">
        <w:t xml:space="preserve"> she will be alone at Thanksgiving? </w:t>
      </w:r>
    </w:p>
    <w:p w:rsidR="00B13A48" w:rsidRPr="003F082B" w:rsidRDefault="00B13A48" w:rsidP="00B13A48">
      <w:pPr>
        <w:ind w:left="1080" w:hanging="540"/>
        <w:rPr>
          <w:sz w:val="22"/>
          <w:szCs w:val="22"/>
        </w:rPr>
      </w:pPr>
    </w:p>
    <w:p w:rsidR="00B13A48" w:rsidRPr="003F082B" w:rsidRDefault="00B13A48" w:rsidP="00B13A48">
      <w:pPr>
        <w:ind w:left="1080" w:hanging="540"/>
        <w:rPr>
          <w:sz w:val="22"/>
          <w:szCs w:val="22"/>
        </w:rPr>
      </w:pPr>
      <w:r w:rsidRPr="003F082B">
        <w:rPr>
          <w:sz w:val="22"/>
          <w:szCs w:val="22"/>
        </w:rPr>
        <w:t>2.</w:t>
      </w:r>
      <w:r w:rsidRPr="003F082B">
        <w:rPr>
          <w:sz w:val="22"/>
          <w:szCs w:val="22"/>
        </w:rPr>
        <w:tab/>
      </w:r>
      <w:r w:rsidRPr="003F082B">
        <w:rPr>
          <w:b/>
          <w:sz w:val="22"/>
          <w:szCs w:val="22"/>
        </w:rPr>
        <w:t>Bypass trusts for the children</w:t>
      </w:r>
      <w:r w:rsidRPr="003F082B">
        <w:rPr>
          <w:sz w:val="22"/>
          <w:szCs w:val="22"/>
        </w:rPr>
        <w:t>. Another problem with that two-page will:</w:t>
      </w:r>
      <w:r w:rsidRPr="003F082B">
        <w:rPr>
          <w:b/>
          <w:sz w:val="22"/>
          <w:szCs w:val="22"/>
        </w:rPr>
        <w:t xml:space="preserve"> </w:t>
      </w:r>
      <w:r w:rsidRPr="003F082B">
        <w:rPr>
          <w:sz w:val="22"/>
          <w:szCs w:val="22"/>
        </w:rPr>
        <w:t xml:space="preserve">If the children </w:t>
      </w:r>
      <w:r w:rsidR="005128CD">
        <w:rPr>
          <w:sz w:val="22"/>
          <w:szCs w:val="22"/>
        </w:rPr>
        <w:t>will</w:t>
      </w:r>
      <w:r w:rsidRPr="003F082B">
        <w:rPr>
          <w:sz w:val="22"/>
          <w:szCs w:val="22"/>
        </w:rPr>
        <w:t xml:space="preserve"> succeed to more than a modest amount, there are very real advantages in creating trusts for the children's benefit rather than giving them outright ownership</w:t>
      </w:r>
      <w:r w:rsidR="00507F2A">
        <w:rPr>
          <w:sz w:val="22"/>
          <w:szCs w:val="22"/>
        </w:rPr>
        <w:t xml:space="preserve"> of assets</w:t>
      </w:r>
      <w:r w:rsidRPr="003F082B">
        <w:rPr>
          <w:sz w:val="22"/>
          <w:szCs w:val="22"/>
        </w:rPr>
        <w:t xml:space="preserve">. </w:t>
      </w:r>
      <w:r w:rsidR="00507F2A">
        <w:rPr>
          <w:sz w:val="22"/>
          <w:szCs w:val="22"/>
        </w:rPr>
        <w:t>Moreover</w:t>
      </w:r>
      <w:r w:rsidRPr="003F082B">
        <w:rPr>
          <w:sz w:val="22"/>
          <w:szCs w:val="22"/>
        </w:rPr>
        <w:t xml:space="preserve">, each child can be the trustee of his or her own trust, giving the child the power to make management and investment decisions (just </w:t>
      </w:r>
      <w:r>
        <w:rPr>
          <w:sz w:val="22"/>
          <w:szCs w:val="22"/>
        </w:rPr>
        <w:t>as</w:t>
      </w:r>
      <w:r w:rsidRPr="003F082B">
        <w:rPr>
          <w:sz w:val="22"/>
          <w:szCs w:val="22"/>
        </w:rPr>
        <w:t xml:space="preserve"> an outright owner would make) while also </w:t>
      </w:r>
      <w:r w:rsidR="00507F2A">
        <w:rPr>
          <w:sz w:val="22"/>
          <w:szCs w:val="22"/>
        </w:rPr>
        <w:t>providing</w:t>
      </w:r>
      <w:r w:rsidRPr="003F082B">
        <w:rPr>
          <w:sz w:val="22"/>
          <w:szCs w:val="22"/>
        </w:rPr>
        <w:t xml:space="preserve"> various advantages.</w:t>
      </w:r>
    </w:p>
    <w:p w:rsidR="00B13A48" w:rsidRPr="003F082B" w:rsidRDefault="00B13A48" w:rsidP="00B13A48">
      <w:pPr>
        <w:ind w:left="1080" w:hanging="540"/>
        <w:rPr>
          <w:sz w:val="22"/>
          <w:szCs w:val="22"/>
        </w:rPr>
      </w:pPr>
    </w:p>
    <w:p w:rsidR="00B13A48" w:rsidRPr="003F082B" w:rsidRDefault="00B13A48" w:rsidP="00B13A48">
      <w:pPr>
        <w:ind w:left="1620" w:hanging="540"/>
        <w:rPr>
          <w:sz w:val="22"/>
          <w:szCs w:val="22"/>
        </w:rPr>
      </w:pPr>
      <w:r>
        <w:rPr>
          <w:sz w:val="22"/>
          <w:szCs w:val="22"/>
        </w:rPr>
        <w:t>a.</w:t>
      </w:r>
      <w:r>
        <w:rPr>
          <w:sz w:val="22"/>
          <w:szCs w:val="22"/>
        </w:rPr>
        <w:tab/>
      </w:r>
      <w:r w:rsidRPr="003F082B">
        <w:rPr>
          <w:b/>
          <w:sz w:val="22"/>
          <w:szCs w:val="22"/>
        </w:rPr>
        <w:t>Covering the contingency of divorce</w:t>
      </w:r>
      <w:r w:rsidRPr="003F082B">
        <w:rPr>
          <w:sz w:val="22"/>
          <w:szCs w:val="22"/>
        </w:rPr>
        <w:t xml:space="preserve">. </w:t>
      </w:r>
      <w:r>
        <w:rPr>
          <w:sz w:val="22"/>
          <w:szCs w:val="22"/>
        </w:rPr>
        <w:t>In today’s world</w:t>
      </w:r>
      <w:r w:rsidRPr="003F082B">
        <w:rPr>
          <w:sz w:val="22"/>
          <w:szCs w:val="22"/>
        </w:rPr>
        <w:t xml:space="preserve">, </w:t>
      </w:r>
      <w:r w:rsidR="005128CD">
        <w:rPr>
          <w:sz w:val="22"/>
          <w:szCs w:val="22"/>
        </w:rPr>
        <w:t xml:space="preserve">more </w:t>
      </w:r>
      <w:r w:rsidRPr="003F082B">
        <w:rPr>
          <w:sz w:val="22"/>
          <w:szCs w:val="22"/>
        </w:rPr>
        <w:t>marriages</w:t>
      </w:r>
      <w:r w:rsidR="005128CD">
        <w:rPr>
          <w:sz w:val="22"/>
          <w:szCs w:val="22"/>
        </w:rPr>
        <w:t xml:space="preserve"> are terminated by </w:t>
      </w:r>
      <w:r w:rsidRPr="003F082B">
        <w:rPr>
          <w:sz w:val="22"/>
          <w:szCs w:val="22"/>
        </w:rPr>
        <w:t>divorce</w:t>
      </w:r>
      <w:r w:rsidR="005128CD">
        <w:rPr>
          <w:sz w:val="22"/>
          <w:szCs w:val="22"/>
        </w:rPr>
        <w:t xml:space="preserve"> than by death</w:t>
      </w:r>
      <w:r w:rsidRPr="003F082B">
        <w:rPr>
          <w:sz w:val="22"/>
          <w:szCs w:val="22"/>
        </w:rPr>
        <w:t xml:space="preserve">. If property is bequeathed outright to a child, it is the child's separate property </w:t>
      </w:r>
      <w:r w:rsidR="005128CD">
        <w:rPr>
          <w:sz w:val="22"/>
          <w:szCs w:val="22"/>
        </w:rPr>
        <w:t xml:space="preserve">and theoretically is not “on the table” for purposes of division upon divorce. </w:t>
      </w:r>
      <w:r w:rsidRPr="003F082B">
        <w:rPr>
          <w:sz w:val="22"/>
          <w:szCs w:val="22"/>
        </w:rPr>
        <w:t>However, all property on hand at the time of divorce (or death) is presumptively community property.</w:t>
      </w:r>
      <w:r w:rsidR="005128CD">
        <w:rPr>
          <w:sz w:val="22"/>
          <w:szCs w:val="22"/>
        </w:rPr>
        <w:t xml:space="preserve"> </w:t>
      </w:r>
      <w:r w:rsidRPr="003F082B">
        <w:rPr>
          <w:sz w:val="22"/>
          <w:szCs w:val="22"/>
        </w:rPr>
        <w:t>To keep its separate property status, the property cannot be commingled with community property, and good records must be kept; otherwise it may not be possible to establish separate ownership so as to o</w:t>
      </w:r>
      <w:r w:rsidR="005128CD">
        <w:rPr>
          <w:sz w:val="22"/>
          <w:szCs w:val="22"/>
        </w:rPr>
        <w:t>v</w:t>
      </w:r>
      <w:r w:rsidRPr="003F082B">
        <w:rPr>
          <w:sz w:val="22"/>
          <w:szCs w:val="22"/>
        </w:rPr>
        <w:t xml:space="preserve">ercome the community presumption by the required “clear and convincing” evidence. </w:t>
      </w:r>
      <w:r w:rsidRPr="003F082B">
        <w:rPr>
          <w:sz w:val="22"/>
          <w:szCs w:val="22"/>
        </w:rPr>
        <w:tab/>
        <w:t>A trust (even with the child as trustee) is a useful vehicle for segregating and managing separate property separately.</w:t>
      </w:r>
    </w:p>
    <w:p w:rsidR="00B13A48" w:rsidRPr="003F082B" w:rsidRDefault="00B13A48" w:rsidP="00B13A48">
      <w:pPr>
        <w:ind w:left="1620" w:hanging="540"/>
        <w:rPr>
          <w:sz w:val="22"/>
          <w:szCs w:val="22"/>
        </w:rPr>
      </w:pPr>
    </w:p>
    <w:p w:rsidR="00B13A48" w:rsidRPr="003F082B" w:rsidRDefault="00B13A48" w:rsidP="00B13A48">
      <w:pPr>
        <w:ind w:left="1620" w:hanging="540"/>
        <w:rPr>
          <w:sz w:val="22"/>
          <w:szCs w:val="22"/>
        </w:rPr>
      </w:pPr>
      <w:r w:rsidRPr="003F082B">
        <w:rPr>
          <w:sz w:val="22"/>
          <w:szCs w:val="22"/>
        </w:rPr>
        <w:t>b.</w:t>
      </w:r>
      <w:r w:rsidRPr="003F082B">
        <w:rPr>
          <w:sz w:val="22"/>
          <w:szCs w:val="22"/>
        </w:rPr>
        <w:tab/>
      </w:r>
      <w:r w:rsidRPr="003F082B">
        <w:rPr>
          <w:b/>
          <w:sz w:val="22"/>
          <w:szCs w:val="22"/>
        </w:rPr>
        <w:t>Creditor protection</w:t>
      </w:r>
      <w:r w:rsidRPr="003F082B">
        <w:rPr>
          <w:sz w:val="22"/>
          <w:szCs w:val="22"/>
        </w:rPr>
        <w:t>. If the child is in a profession or line of work in which malpractice suits are a concern (and, in today's litigious society, that includes just about everybody!), property left to a child in a trust can be given spendthrift protection, meaning that no creditors can reach the child's interest in the trust—even if the child declares bankruptcy.</w:t>
      </w:r>
    </w:p>
    <w:p w:rsidR="00B13A48" w:rsidRPr="003F082B" w:rsidRDefault="00B13A48" w:rsidP="00B13A48">
      <w:pPr>
        <w:ind w:left="1620" w:hanging="540"/>
        <w:rPr>
          <w:sz w:val="22"/>
          <w:szCs w:val="22"/>
        </w:rPr>
      </w:pPr>
    </w:p>
    <w:p w:rsidR="00B13A48" w:rsidRDefault="00B13A48" w:rsidP="005128CD">
      <w:pPr>
        <w:ind w:left="1620" w:hanging="540"/>
        <w:rPr>
          <w:sz w:val="22"/>
          <w:szCs w:val="22"/>
        </w:rPr>
      </w:pPr>
      <w:r w:rsidRPr="003F082B">
        <w:rPr>
          <w:sz w:val="22"/>
          <w:szCs w:val="22"/>
        </w:rPr>
        <w:t xml:space="preserve">c.    </w:t>
      </w:r>
      <w:r>
        <w:rPr>
          <w:sz w:val="22"/>
          <w:szCs w:val="22"/>
        </w:rPr>
        <w:tab/>
      </w:r>
      <w:r>
        <w:rPr>
          <w:b/>
          <w:sz w:val="22"/>
          <w:szCs w:val="22"/>
        </w:rPr>
        <w:t>In-law p</w:t>
      </w:r>
      <w:r w:rsidRPr="003F082B">
        <w:rPr>
          <w:b/>
          <w:sz w:val="22"/>
          <w:szCs w:val="22"/>
        </w:rPr>
        <w:t>rotection</w:t>
      </w:r>
      <w:r>
        <w:rPr>
          <w:b/>
          <w:sz w:val="22"/>
          <w:szCs w:val="22"/>
        </w:rPr>
        <w:t xml:space="preserve">. </w:t>
      </w:r>
      <w:r w:rsidRPr="003F082B">
        <w:rPr>
          <w:sz w:val="22"/>
          <w:szCs w:val="22"/>
        </w:rPr>
        <w:t xml:space="preserve"> </w:t>
      </w:r>
      <w:r w:rsidR="00991E28">
        <w:rPr>
          <w:sz w:val="22"/>
          <w:szCs w:val="22"/>
        </w:rPr>
        <w:t>Although</w:t>
      </w:r>
      <w:r w:rsidRPr="003F082B">
        <w:rPr>
          <w:sz w:val="22"/>
          <w:szCs w:val="22"/>
        </w:rPr>
        <w:t xml:space="preserve"> the child’s marriage is solid and the likelihood of divorce is remote, parents may be concerned that the child’s spouse might take some action that puts the child’s inheritance at risk</w:t>
      </w:r>
      <w:r w:rsidR="00991E28">
        <w:rPr>
          <w:sz w:val="22"/>
          <w:szCs w:val="22"/>
        </w:rPr>
        <w:t>—</w:t>
      </w:r>
      <w:r w:rsidR="00991E28" w:rsidRPr="00991E28">
        <w:rPr>
          <w:i/>
          <w:sz w:val="22"/>
          <w:szCs w:val="22"/>
        </w:rPr>
        <w:t>e.g</w:t>
      </w:r>
      <w:r w:rsidR="00991E28">
        <w:rPr>
          <w:sz w:val="22"/>
          <w:szCs w:val="22"/>
        </w:rPr>
        <w:t>., by persuading the child to invest in a Subway franchise</w:t>
      </w:r>
      <w:r w:rsidRPr="003F082B">
        <w:rPr>
          <w:sz w:val="22"/>
          <w:szCs w:val="22"/>
        </w:rPr>
        <w:t xml:space="preserve">. </w:t>
      </w:r>
    </w:p>
    <w:p w:rsidR="005128CD" w:rsidRPr="003F082B" w:rsidRDefault="005128CD" w:rsidP="005128CD">
      <w:pPr>
        <w:ind w:left="1620" w:hanging="540"/>
        <w:rPr>
          <w:sz w:val="22"/>
          <w:szCs w:val="22"/>
        </w:rPr>
      </w:pPr>
    </w:p>
    <w:p w:rsidR="00B13A48" w:rsidRPr="003F082B" w:rsidRDefault="00B13A48" w:rsidP="00B13A48">
      <w:pPr>
        <w:ind w:left="1620" w:hanging="540"/>
        <w:rPr>
          <w:sz w:val="22"/>
          <w:szCs w:val="22"/>
        </w:rPr>
      </w:pPr>
      <w:r w:rsidRPr="003F082B">
        <w:rPr>
          <w:sz w:val="22"/>
          <w:szCs w:val="22"/>
        </w:rPr>
        <w:t>d.</w:t>
      </w:r>
      <w:r>
        <w:rPr>
          <w:sz w:val="22"/>
          <w:szCs w:val="22"/>
        </w:rPr>
        <w:tab/>
      </w:r>
      <w:r w:rsidRPr="003F082B">
        <w:rPr>
          <w:b/>
          <w:sz w:val="22"/>
          <w:szCs w:val="22"/>
        </w:rPr>
        <w:t>Avoids guardianship</w:t>
      </w:r>
      <w:r w:rsidRPr="003F082B">
        <w:rPr>
          <w:sz w:val="22"/>
          <w:szCs w:val="22"/>
        </w:rPr>
        <w:t xml:space="preserve"> should </w:t>
      </w:r>
      <w:r w:rsidR="00284247">
        <w:rPr>
          <w:sz w:val="22"/>
          <w:szCs w:val="22"/>
        </w:rPr>
        <w:t>the child, years from now, suffer diminished</w:t>
      </w:r>
      <w:r w:rsidRPr="003F082B">
        <w:rPr>
          <w:sz w:val="22"/>
          <w:szCs w:val="22"/>
        </w:rPr>
        <w:t xml:space="preserve"> capacity.</w:t>
      </w:r>
    </w:p>
    <w:p w:rsidR="00B13A48" w:rsidRPr="003F082B" w:rsidRDefault="00B13A48" w:rsidP="00B13A48">
      <w:pPr>
        <w:ind w:left="1620" w:hanging="540"/>
        <w:rPr>
          <w:sz w:val="22"/>
          <w:szCs w:val="22"/>
        </w:rPr>
      </w:pPr>
    </w:p>
    <w:p w:rsidR="00B13A48" w:rsidRDefault="00B13A48" w:rsidP="00B13A48">
      <w:pPr>
        <w:ind w:left="1620" w:hanging="540"/>
        <w:rPr>
          <w:sz w:val="22"/>
          <w:szCs w:val="22"/>
        </w:rPr>
      </w:pPr>
      <w:r>
        <w:rPr>
          <w:sz w:val="22"/>
          <w:szCs w:val="22"/>
        </w:rPr>
        <w:t>e</w:t>
      </w:r>
      <w:r w:rsidRPr="003F082B">
        <w:rPr>
          <w:sz w:val="22"/>
          <w:szCs w:val="22"/>
        </w:rPr>
        <w:t>.</w:t>
      </w:r>
      <w:r>
        <w:rPr>
          <w:sz w:val="22"/>
          <w:szCs w:val="22"/>
        </w:rPr>
        <w:tab/>
      </w:r>
      <w:r>
        <w:rPr>
          <w:b/>
          <w:sz w:val="22"/>
          <w:szCs w:val="22"/>
        </w:rPr>
        <w:t>Bypasses child’s estate for tax purposes</w:t>
      </w:r>
      <w:r>
        <w:rPr>
          <w:sz w:val="22"/>
          <w:szCs w:val="22"/>
        </w:rPr>
        <w:t xml:space="preserve"> if</w:t>
      </w:r>
      <w:r w:rsidRPr="003F082B">
        <w:rPr>
          <w:sz w:val="22"/>
          <w:szCs w:val="22"/>
        </w:rPr>
        <w:t xml:space="preserve"> the child</w:t>
      </w:r>
      <w:r>
        <w:rPr>
          <w:sz w:val="22"/>
          <w:szCs w:val="22"/>
        </w:rPr>
        <w:t xml:space="preserve">’s estate exceeds </w:t>
      </w:r>
      <w:r w:rsidR="00B96A4B">
        <w:rPr>
          <w:sz w:val="22"/>
          <w:szCs w:val="22"/>
        </w:rPr>
        <w:t xml:space="preserve">his or </w:t>
      </w:r>
      <w:r>
        <w:rPr>
          <w:sz w:val="22"/>
          <w:szCs w:val="22"/>
        </w:rPr>
        <w:t>her exemption equivalent in the year of death.</w:t>
      </w:r>
    </w:p>
    <w:p w:rsidR="00B13A48" w:rsidRPr="009638C0" w:rsidRDefault="00B13A48" w:rsidP="00B13A48">
      <w:pPr>
        <w:tabs>
          <w:tab w:val="left" w:pos="540"/>
          <w:tab w:val="left" w:pos="1620"/>
          <w:tab w:val="left" w:pos="2700"/>
        </w:tabs>
        <w:spacing w:line="240" w:lineRule="exact"/>
        <w:ind w:left="540" w:hanging="540"/>
        <w:rPr>
          <w:b/>
          <w:sz w:val="22"/>
          <w:szCs w:val="22"/>
        </w:rPr>
      </w:pPr>
    </w:p>
    <w:p w:rsidR="00B13A48" w:rsidRDefault="005128CD" w:rsidP="00B13A48">
      <w:pPr>
        <w:pStyle w:val="Heading20"/>
        <w:tabs>
          <w:tab w:val="left" w:pos="540"/>
        </w:tabs>
        <w:spacing w:line="240" w:lineRule="exact"/>
        <w:ind w:left="1087" w:hanging="547"/>
      </w:pPr>
      <w:r>
        <w:t>3</w:t>
      </w:r>
      <w:r w:rsidR="00B13A48">
        <w:t>.</w:t>
      </w:r>
      <w:r w:rsidR="00B13A48">
        <w:tab/>
      </w:r>
      <w:r w:rsidR="00B13A48">
        <w:rPr>
          <w:b/>
        </w:rPr>
        <w:t xml:space="preserve">Contingent trusts. </w:t>
      </w:r>
      <w:r w:rsidR="00B13A48">
        <w:t>All wills should include a contingent trust, to cover the contingency that an outright distribution may be made to a minor beneficiary (avoiding guardianship—and avoiding the beneficiary’s succeeding to outright ownership at age 18); to a beneficiary who, it turns out, has filed for bankruptcy; or to a beneficiary who, it turns out, that has special needs. Here is a useful contingent trust clause</w:t>
      </w:r>
      <w:r>
        <w:t xml:space="preserve">, developed by Clyde Farrell, an </w:t>
      </w:r>
      <w:proofErr w:type="spellStart"/>
      <w:r>
        <w:t>Elderlaw</w:t>
      </w:r>
      <w:proofErr w:type="spellEnd"/>
      <w:r>
        <w:t xml:space="preserve"> attorney in Austin</w:t>
      </w:r>
      <w:proofErr w:type="gramStart"/>
      <w:r>
        <w:t>.</w:t>
      </w:r>
      <w:r w:rsidR="00B13A48">
        <w:t>.</w:t>
      </w:r>
      <w:proofErr w:type="gramEnd"/>
    </w:p>
    <w:p w:rsidR="00B13A48" w:rsidRDefault="00B13A48" w:rsidP="00B13A48">
      <w:pPr>
        <w:pStyle w:val="Heading20"/>
        <w:tabs>
          <w:tab w:val="left" w:pos="540"/>
        </w:tabs>
        <w:spacing w:line="240" w:lineRule="exact"/>
        <w:ind w:left="1087" w:hanging="547"/>
      </w:pPr>
    </w:p>
    <w:p w:rsidR="00B13A48" w:rsidRDefault="00B13A48" w:rsidP="00B13A48">
      <w:pPr>
        <w:pStyle w:val="Heading20"/>
        <w:tabs>
          <w:tab w:val="left" w:pos="540"/>
        </w:tabs>
        <w:spacing w:line="240" w:lineRule="exact"/>
        <w:ind w:left="1087" w:hanging="547"/>
      </w:pPr>
      <w:r>
        <w:tab/>
        <w:t xml:space="preserve">B-2.  </w:t>
      </w:r>
      <w:r>
        <w:rPr>
          <w:b/>
        </w:rPr>
        <w:t>Contingent Trusts</w:t>
      </w:r>
      <w:r>
        <w:t>.  Any portion of my residuary estate, or of the Howard Brown Family Trust or a Contingent Trust upon the trust's termination, which would be distributable to a beneficiary (</w:t>
      </w:r>
      <w:proofErr w:type="spellStart"/>
      <w:r>
        <w:t>i</w:t>
      </w:r>
      <w:proofErr w:type="spellEnd"/>
      <w:r>
        <w:t xml:space="preserve">) who is under age 23, (ii) who (in the determination of my executor or the trustee) lacks the mental capacity to manage his or her own financial affairs, (iii) who has filed a petition </w:t>
      </w:r>
      <w:r>
        <w:lastRenderedPageBreak/>
        <w:t>for protection under the Bankruptcy Code within 180 days before my death, or (iv) who has a disability as defined by the Social Security Administration and who (in the determination of my executor or the trustee) needs benefits for which he or she might qualify if distribution is to a trust, instead shall be distributed to the trustee of a Contingent Trust. Each beneficiary's portion so distributed shall be held and administered as a separate trust for the beneficiary.</w:t>
      </w:r>
    </w:p>
    <w:p w:rsidR="00B13A48" w:rsidRDefault="00B13A48" w:rsidP="00B13A48">
      <w:pPr>
        <w:pStyle w:val="Heading20"/>
        <w:tabs>
          <w:tab w:val="left" w:pos="540"/>
        </w:tabs>
        <w:spacing w:line="240" w:lineRule="exact"/>
        <w:ind w:left="1087" w:hanging="547"/>
      </w:pPr>
    </w:p>
    <w:p w:rsidR="00B13A48" w:rsidRDefault="00B13A48" w:rsidP="00B13A48">
      <w:pPr>
        <w:pStyle w:val="Heading20"/>
        <w:tabs>
          <w:tab w:val="left" w:pos="540"/>
        </w:tabs>
        <w:spacing w:line="240" w:lineRule="exact"/>
        <w:ind w:left="1087" w:hanging="547"/>
      </w:pPr>
      <w:r>
        <w:tab/>
      </w:r>
      <w:r>
        <w:tab/>
        <w:t xml:space="preserve">a.   </w:t>
      </w:r>
      <w:r>
        <w:rPr>
          <w:b/>
        </w:rPr>
        <w:t>Distributions</w:t>
      </w:r>
      <w:r>
        <w:t>. The trustee may distribute to the beneficiary, from time to time, so much or all of the trust income and principal as the trustee, in its discretion, deems appropriate for the beneficiary's best interest. Any income not so distributed shall be added to the principal of the trust.</w:t>
      </w:r>
    </w:p>
    <w:p w:rsidR="00B13A48" w:rsidRDefault="00B13A48" w:rsidP="00B13A48">
      <w:pPr>
        <w:pStyle w:val="Heading20"/>
        <w:tabs>
          <w:tab w:val="left" w:pos="540"/>
        </w:tabs>
        <w:spacing w:line="240" w:lineRule="exact"/>
        <w:ind w:left="1087" w:hanging="547"/>
      </w:pPr>
    </w:p>
    <w:p w:rsidR="00B13A48" w:rsidRDefault="00B13A48" w:rsidP="00B13A48">
      <w:pPr>
        <w:pStyle w:val="Heading20"/>
        <w:tabs>
          <w:tab w:val="left" w:pos="540"/>
        </w:tabs>
        <w:spacing w:line="240" w:lineRule="exact"/>
        <w:ind w:left="1087" w:hanging="547"/>
      </w:pPr>
      <w:r>
        <w:tab/>
      </w:r>
      <w:r>
        <w:tab/>
      </w:r>
      <w:proofErr w:type="gramStart"/>
      <w:r>
        <w:t xml:space="preserve">b.  </w:t>
      </w:r>
      <w:r>
        <w:rPr>
          <w:b/>
        </w:rPr>
        <w:t>Termination</w:t>
      </w:r>
      <w:proofErr w:type="gramEnd"/>
      <w:r>
        <w:t>. The trust shall terminate when the beneficiary attains age 25 or dies before that age; or, in the case of a beneficiary who lacks the capacity to manage his or her own financial affairs, when the beneficiary regains that capacity; or, in the case of a beneficiary who has filed a bankruptcy petition or has a disability, when the beneficiary dies or the trustee in its discretion determines that termination of the trust would be in the beneficiary’s best interest. Upon termination, the trust principal and accumulated income shall be distributed:</w:t>
      </w:r>
    </w:p>
    <w:p w:rsidR="00B13A48" w:rsidRDefault="00B13A48" w:rsidP="00B13A48">
      <w:pPr>
        <w:pStyle w:val="Heading20"/>
        <w:tabs>
          <w:tab w:val="left" w:pos="540"/>
        </w:tabs>
        <w:spacing w:line="240" w:lineRule="exact"/>
        <w:ind w:left="1087" w:hanging="547"/>
      </w:pPr>
    </w:p>
    <w:p w:rsidR="00B13A48" w:rsidRDefault="00B13A48" w:rsidP="00B13A48">
      <w:pPr>
        <w:pStyle w:val="Heading20"/>
        <w:tabs>
          <w:tab w:val="left" w:pos="540"/>
        </w:tabs>
        <w:spacing w:line="240" w:lineRule="exact"/>
        <w:ind w:left="1087" w:hanging="547"/>
      </w:pPr>
      <w:r>
        <w:tab/>
      </w:r>
      <w:r>
        <w:tab/>
        <w:t>(1)</w:t>
      </w:r>
      <w:r>
        <w:tab/>
        <w:t>To the beneficiary.</w:t>
      </w:r>
    </w:p>
    <w:p w:rsidR="00B13A48" w:rsidRDefault="00B13A48" w:rsidP="00B13A48">
      <w:pPr>
        <w:pStyle w:val="Heading20"/>
        <w:tabs>
          <w:tab w:val="left" w:pos="540"/>
        </w:tabs>
        <w:spacing w:line="240" w:lineRule="exact"/>
        <w:ind w:left="1087" w:hanging="547"/>
      </w:pPr>
    </w:p>
    <w:p w:rsidR="00B13A48" w:rsidRDefault="00B13A48" w:rsidP="00B13A48">
      <w:pPr>
        <w:pStyle w:val="Heading20"/>
        <w:tabs>
          <w:tab w:val="left" w:pos="540"/>
        </w:tabs>
        <w:spacing w:line="240" w:lineRule="exact"/>
        <w:ind w:left="1087" w:hanging="547"/>
      </w:pPr>
      <w:r>
        <w:tab/>
      </w:r>
      <w:r>
        <w:tab/>
        <w:t>(2)</w:t>
      </w:r>
      <w:r>
        <w:tab/>
        <w:t>If the beneficiary is not living, to the beneficiary's descendants.</w:t>
      </w:r>
    </w:p>
    <w:p w:rsidR="00B13A48" w:rsidRDefault="00B13A48" w:rsidP="00B13A48">
      <w:pPr>
        <w:pStyle w:val="Heading20"/>
        <w:tabs>
          <w:tab w:val="left" w:pos="540"/>
        </w:tabs>
        <w:spacing w:line="240" w:lineRule="exact"/>
        <w:ind w:left="1087" w:hanging="547"/>
      </w:pPr>
    </w:p>
    <w:p w:rsidR="00B13A48" w:rsidRDefault="00B13A48" w:rsidP="00B13A48">
      <w:pPr>
        <w:pStyle w:val="Heading20"/>
        <w:tabs>
          <w:tab w:val="left" w:pos="540"/>
        </w:tabs>
        <w:spacing w:line="240" w:lineRule="exact"/>
        <w:ind w:left="1087" w:hanging="547"/>
      </w:pPr>
      <w:r>
        <w:tab/>
      </w:r>
      <w:r>
        <w:tab/>
        <w:t>(3)</w:t>
      </w:r>
      <w:r>
        <w:tab/>
        <w:t>If none of the beneficiary's descendants is then living, to my descendants.</w:t>
      </w:r>
    </w:p>
    <w:p w:rsidR="00B13A48" w:rsidRDefault="00B13A48" w:rsidP="005128CD">
      <w:pPr>
        <w:pStyle w:val="Heading20"/>
        <w:tabs>
          <w:tab w:val="left" w:pos="540"/>
        </w:tabs>
        <w:spacing w:line="240" w:lineRule="exact"/>
      </w:pPr>
    </w:p>
    <w:p w:rsidR="00B13A48" w:rsidRDefault="00B13A48" w:rsidP="00B13A48">
      <w:pPr>
        <w:pStyle w:val="Heading20"/>
        <w:tabs>
          <w:tab w:val="left" w:pos="540"/>
        </w:tabs>
        <w:spacing w:line="240" w:lineRule="exact"/>
        <w:ind w:left="1087" w:hanging="547"/>
      </w:pPr>
      <w:r>
        <w:tab/>
      </w:r>
      <w:r>
        <w:tab/>
        <w:t>(4)</w:t>
      </w:r>
      <w:r>
        <w:tab/>
        <w:t xml:space="preserve">If none of my descendants is then living, to </w:t>
      </w:r>
      <w:r w:rsidR="005128CD">
        <w:t>[“atom bomb” beneficiaries].</w:t>
      </w:r>
    </w:p>
    <w:p w:rsidR="00B13A48" w:rsidRDefault="00B13A48" w:rsidP="00B13A48">
      <w:pPr>
        <w:pStyle w:val="Heading20"/>
        <w:tabs>
          <w:tab w:val="left" w:pos="540"/>
        </w:tabs>
        <w:spacing w:line="240" w:lineRule="exact"/>
        <w:ind w:left="1087" w:hanging="547"/>
        <w:jc w:val="center"/>
      </w:pPr>
      <w:r>
        <w:t>_____________________</w:t>
      </w:r>
    </w:p>
    <w:p w:rsidR="00B13A48" w:rsidRDefault="00B13A48" w:rsidP="00B13A48">
      <w:pPr>
        <w:pStyle w:val="Heading20"/>
        <w:tabs>
          <w:tab w:val="left" w:pos="540"/>
        </w:tabs>
        <w:spacing w:line="240" w:lineRule="exact"/>
        <w:ind w:left="1087" w:hanging="547"/>
        <w:jc w:val="center"/>
      </w:pPr>
    </w:p>
    <w:p w:rsidR="00B13A48" w:rsidRDefault="00B13A48" w:rsidP="00B13A48">
      <w:pPr>
        <w:ind w:left="1620" w:hanging="540"/>
        <w:rPr>
          <w:sz w:val="22"/>
          <w:szCs w:val="22"/>
        </w:rPr>
      </w:pPr>
      <w:r>
        <w:rPr>
          <w:sz w:val="22"/>
          <w:szCs w:val="22"/>
        </w:rPr>
        <w:t>a.</w:t>
      </w:r>
      <w:r>
        <w:rPr>
          <w:sz w:val="22"/>
          <w:szCs w:val="22"/>
        </w:rPr>
        <w:tab/>
      </w:r>
      <w:r>
        <w:rPr>
          <w:b/>
          <w:sz w:val="22"/>
          <w:szCs w:val="22"/>
        </w:rPr>
        <w:t>Bankruptcy concern</w:t>
      </w:r>
      <w:r>
        <w:rPr>
          <w:sz w:val="22"/>
          <w:szCs w:val="22"/>
        </w:rPr>
        <w:t>. Under §541(a)(5) of the Bankruptcy Code, if a person acquires or becomes entitled to acquire an inheritance within 180 days after filing for bankruptcy, the inherited property is included in the bankruptcy estate. This cannot be avoided by a disclaimer of the inheritance. It is the date of the decedent’s death, and not when the property is received, that controls. The Contingent Trust will cause the beneficiary’s share to pass into a trust protected from creditors. This assumes that (</w:t>
      </w:r>
      <w:proofErr w:type="spellStart"/>
      <w:r w:rsidR="00991E28">
        <w:rPr>
          <w:sz w:val="22"/>
          <w:szCs w:val="22"/>
        </w:rPr>
        <w:t>i</w:t>
      </w:r>
      <w:proofErr w:type="spellEnd"/>
      <w:r>
        <w:rPr>
          <w:sz w:val="22"/>
          <w:szCs w:val="22"/>
        </w:rPr>
        <w:t>) the will contains a spendthrift clause, and (</w:t>
      </w:r>
      <w:r w:rsidR="00991E28">
        <w:rPr>
          <w:sz w:val="22"/>
          <w:szCs w:val="22"/>
        </w:rPr>
        <w:t>ii</w:t>
      </w:r>
      <w:r>
        <w:rPr>
          <w:sz w:val="22"/>
          <w:szCs w:val="22"/>
        </w:rPr>
        <w:t>) the person has elected state law exemptions.</w:t>
      </w:r>
    </w:p>
    <w:p w:rsidR="00B13A48" w:rsidRDefault="00B13A48" w:rsidP="00B13A48">
      <w:pPr>
        <w:ind w:left="1620" w:hanging="540"/>
        <w:rPr>
          <w:sz w:val="22"/>
          <w:szCs w:val="22"/>
        </w:rPr>
      </w:pPr>
    </w:p>
    <w:p w:rsidR="00B13A48" w:rsidRDefault="00B13A48" w:rsidP="00B13A48">
      <w:pPr>
        <w:ind w:left="1620" w:hanging="540"/>
        <w:rPr>
          <w:sz w:val="22"/>
          <w:szCs w:val="22"/>
        </w:rPr>
      </w:pPr>
      <w:proofErr w:type="gramStart"/>
      <w:r>
        <w:rPr>
          <w:sz w:val="22"/>
          <w:szCs w:val="22"/>
        </w:rPr>
        <w:t>b</w:t>
      </w:r>
      <w:proofErr w:type="gramEnd"/>
      <w:r>
        <w:rPr>
          <w:sz w:val="22"/>
          <w:szCs w:val="22"/>
        </w:rPr>
        <w:t>.</w:t>
      </w:r>
      <w:r>
        <w:rPr>
          <w:sz w:val="22"/>
          <w:szCs w:val="22"/>
        </w:rPr>
        <w:tab/>
      </w:r>
      <w:r>
        <w:rPr>
          <w:b/>
          <w:sz w:val="22"/>
          <w:szCs w:val="22"/>
        </w:rPr>
        <w:t>Special Needs concern</w:t>
      </w:r>
      <w:r>
        <w:rPr>
          <w:sz w:val="22"/>
          <w:szCs w:val="22"/>
        </w:rPr>
        <w:t>. An outright bequest of property may cause the beneficiary to lose eligibility for SSI or Medicaid benefits. The Contingent Trust establishes a very basic Special Needs trust, as the trustee is given unlimited discretion to make distributions (not governed by a support standard of any other standard). Under this simple format for a special needs trust, distributions can be made to cover the beneficiary’s supplemental needs.</w:t>
      </w:r>
    </w:p>
    <w:p w:rsidR="005128CD" w:rsidRDefault="005128CD" w:rsidP="00142715">
      <w:pPr>
        <w:spacing w:line="240" w:lineRule="atLeast"/>
        <w:ind w:left="540" w:hanging="540"/>
        <w:rPr>
          <w:b/>
          <w:sz w:val="22"/>
          <w:szCs w:val="22"/>
        </w:rPr>
      </w:pPr>
    </w:p>
    <w:p w:rsidR="005F07C0" w:rsidRDefault="009F3E5B" w:rsidP="009A2C9F">
      <w:pPr>
        <w:spacing w:line="240" w:lineRule="exact"/>
        <w:ind w:left="1087" w:hanging="540"/>
        <w:rPr>
          <w:sz w:val="22"/>
          <w:szCs w:val="22"/>
        </w:rPr>
      </w:pPr>
      <w:r>
        <w:rPr>
          <w:b/>
          <w:sz w:val="22"/>
          <w:szCs w:val="22"/>
        </w:rPr>
        <w:t>C.</w:t>
      </w:r>
      <w:r>
        <w:rPr>
          <w:b/>
          <w:sz w:val="22"/>
          <w:szCs w:val="22"/>
        </w:rPr>
        <w:tab/>
      </w:r>
      <w:r w:rsidR="000C11C3">
        <w:rPr>
          <w:b/>
          <w:sz w:val="22"/>
          <w:szCs w:val="22"/>
        </w:rPr>
        <w:t>Clayton trust</w:t>
      </w:r>
      <w:r w:rsidR="005128CD">
        <w:rPr>
          <w:b/>
          <w:sz w:val="22"/>
          <w:szCs w:val="22"/>
        </w:rPr>
        <w:t>?</w:t>
      </w:r>
      <w:r>
        <w:rPr>
          <w:b/>
          <w:sz w:val="22"/>
          <w:szCs w:val="22"/>
        </w:rPr>
        <w:t xml:space="preserve"> </w:t>
      </w:r>
      <w:r w:rsidR="009A2C9F" w:rsidRPr="00E20BA3">
        <w:rPr>
          <w:sz w:val="22"/>
          <w:szCs w:val="22"/>
        </w:rPr>
        <w:t xml:space="preserve">Where spouses are involved, consideration should be given to the “second look” provided by a so-called Clayton trust, based on </w:t>
      </w:r>
      <w:r w:rsidR="009A2C9F" w:rsidRPr="00E20BA3">
        <w:rPr>
          <w:i/>
          <w:sz w:val="22"/>
          <w:szCs w:val="22"/>
        </w:rPr>
        <w:t>Estate of Clayton v. Commissioner</w:t>
      </w:r>
      <w:r w:rsidR="009A2C9F" w:rsidRPr="00E20BA3">
        <w:rPr>
          <w:sz w:val="22"/>
          <w:szCs w:val="22"/>
        </w:rPr>
        <w:t xml:space="preserve">, 976 F.2d 1486 (5th Cir. 1992). The will leaves the residuary estate to a </w:t>
      </w:r>
      <w:proofErr w:type="spellStart"/>
      <w:r w:rsidR="009A2C9F" w:rsidRPr="00E20BA3">
        <w:rPr>
          <w:sz w:val="22"/>
          <w:szCs w:val="22"/>
        </w:rPr>
        <w:t>QTIPable</w:t>
      </w:r>
      <w:proofErr w:type="spellEnd"/>
      <w:r w:rsidR="009A2C9F" w:rsidRPr="00E20BA3">
        <w:rPr>
          <w:sz w:val="22"/>
          <w:szCs w:val="22"/>
        </w:rPr>
        <w:t xml:space="preserve"> trust</w:t>
      </w:r>
      <w:r w:rsidR="009A2C9F">
        <w:rPr>
          <w:sz w:val="22"/>
          <w:szCs w:val="22"/>
        </w:rPr>
        <w:t xml:space="preserve"> which </w:t>
      </w:r>
      <w:r w:rsidR="009A2C9F" w:rsidRPr="00E20BA3">
        <w:rPr>
          <w:sz w:val="22"/>
          <w:szCs w:val="22"/>
        </w:rPr>
        <w:t>provides that</w:t>
      </w:r>
      <w:r w:rsidR="009A2C9F">
        <w:rPr>
          <w:sz w:val="22"/>
          <w:szCs w:val="22"/>
        </w:rPr>
        <w:t>,</w:t>
      </w:r>
      <w:r w:rsidR="009A2C9F" w:rsidRPr="00E20BA3">
        <w:rPr>
          <w:sz w:val="22"/>
          <w:szCs w:val="22"/>
        </w:rPr>
        <w:t xml:space="preserve"> to the extent a timely QTIP election is not made, the residue will pass to a bypass trust that contains more flexible terms.</w:t>
      </w:r>
      <w:r w:rsidR="00284247">
        <w:rPr>
          <w:sz w:val="22"/>
          <w:szCs w:val="22"/>
        </w:rPr>
        <w:t xml:space="preserve"> This gives the executor 15 months to </w:t>
      </w:r>
      <w:r w:rsidR="005F07C0">
        <w:rPr>
          <w:sz w:val="22"/>
          <w:szCs w:val="22"/>
        </w:rPr>
        <w:t>make a decision as to</w:t>
      </w:r>
      <w:r w:rsidR="00B96A4B">
        <w:rPr>
          <w:sz w:val="22"/>
          <w:szCs w:val="22"/>
        </w:rPr>
        <w:t xml:space="preserve"> which is the preferred vehicle</w:t>
      </w:r>
      <w:r w:rsidR="005F07C0">
        <w:rPr>
          <w:sz w:val="22"/>
          <w:szCs w:val="22"/>
        </w:rPr>
        <w:t>.</w:t>
      </w:r>
    </w:p>
    <w:p w:rsidR="00E20BA3" w:rsidRPr="00142715" w:rsidRDefault="00E20BA3" w:rsidP="00306708">
      <w:pPr>
        <w:spacing w:line="240" w:lineRule="atLeast"/>
        <w:ind w:left="540" w:hanging="540"/>
        <w:rPr>
          <w:b/>
          <w:sz w:val="22"/>
          <w:szCs w:val="22"/>
        </w:rPr>
      </w:pPr>
    </w:p>
    <w:p w:rsidR="00E20BA3" w:rsidRDefault="00E20BA3" w:rsidP="009A2C9F">
      <w:pPr>
        <w:spacing w:line="240" w:lineRule="exact"/>
        <w:ind w:left="1627" w:hanging="540"/>
        <w:rPr>
          <w:sz w:val="22"/>
          <w:szCs w:val="22"/>
        </w:rPr>
      </w:pPr>
      <w:r w:rsidRPr="00E20BA3">
        <w:rPr>
          <w:sz w:val="22"/>
          <w:szCs w:val="22"/>
        </w:rPr>
        <w:t>1.</w:t>
      </w:r>
      <w:r w:rsidRPr="00E20BA3">
        <w:rPr>
          <w:sz w:val="22"/>
          <w:szCs w:val="22"/>
        </w:rPr>
        <w:tab/>
      </w:r>
      <w:r w:rsidRPr="00142715">
        <w:rPr>
          <w:sz w:val="22"/>
          <w:szCs w:val="22"/>
        </w:rPr>
        <w:t xml:space="preserve">When </w:t>
      </w:r>
      <w:r w:rsidR="009A2C9F">
        <w:rPr>
          <w:sz w:val="22"/>
          <w:szCs w:val="22"/>
        </w:rPr>
        <w:t xml:space="preserve">the </w:t>
      </w:r>
      <w:r w:rsidRPr="00142715">
        <w:rPr>
          <w:sz w:val="22"/>
          <w:szCs w:val="22"/>
        </w:rPr>
        <w:t>first spouse dies</w:t>
      </w:r>
      <w:r w:rsidR="005A23BC">
        <w:rPr>
          <w:sz w:val="22"/>
          <w:szCs w:val="22"/>
        </w:rPr>
        <w:t>,</w:t>
      </w:r>
      <w:r w:rsidR="00934942">
        <w:rPr>
          <w:sz w:val="22"/>
          <w:szCs w:val="22"/>
        </w:rPr>
        <w:t xml:space="preserve"> </w:t>
      </w:r>
      <w:r w:rsidRPr="00142715">
        <w:rPr>
          <w:sz w:val="22"/>
          <w:szCs w:val="22"/>
        </w:rPr>
        <w:t xml:space="preserve">the executor can </w:t>
      </w:r>
      <w:r w:rsidR="005A23BC">
        <w:rPr>
          <w:sz w:val="22"/>
          <w:szCs w:val="22"/>
        </w:rPr>
        <w:t xml:space="preserve">(if appropriate) </w:t>
      </w:r>
      <w:r w:rsidRPr="00142715">
        <w:rPr>
          <w:sz w:val="22"/>
          <w:szCs w:val="22"/>
        </w:rPr>
        <w:t xml:space="preserve">file a Form 706 that makes a QTIP election (or partial election) and that elects DSUE portability. The </w:t>
      </w:r>
      <w:r w:rsidRPr="009A2C9F">
        <w:rPr>
          <w:b/>
          <w:sz w:val="22"/>
          <w:szCs w:val="22"/>
        </w:rPr>
        <w:t>good news</w:t>
      </w:r>
      <w:r w:rsidRPr="00142715">
        <w:rPr>
          <w:sz w:val="22"/>
          <w:szCs w:val="22"/>
        </w:rPr>
        <w:t xml:space="preserve"> is that on the spouse’s death (</w:t>
      </w:r>
      <w:proofErr w:type="spellStart"/>
      <w:r w:rsidRPr="00142715">
        <w:rPr>
          <w:sz w:val="22"/>
          <w:szCs w:val="22"/>
        </w:rPr>
        <w:t>i</w:t>
      </w:r>
      <w:proofErr w:type="spellEnd"/>
      <w:r w:rsidRPr="00142715">
        <w:rPr>
          <w:sz w:val="22"/>
          <w:szCs w:val="22"/>
        </w:rPr>
        <w:t xml:space="preserve">) </w:t>
      </w:r>
      <w:r w:rsidR="00B96A4B">
        <w:rPr>
          <w:sz w:val="22"/>
          <w:szCs w:val="22"/>
        </w:rPr>
        <w:t xml:space="preserve">his or </w:t>
      </w:r>
      <w:r w:rsidRPr="00142715">
        <w:rPr>
          <w:sz w:val="22"/>
          <w:szCs w:val="22"/>
        </w:rPr>
        <w:t xml:space="preserve">her estate will have a larger exemption, and (ii) the trust assets will receive a new basis for income tax purposes by reason of the §2044 gross </w:t>
      </w:r>
      <w:r w:rsidRPr="00142715">
        <w:rPr>
          <w:sz w:val="22"/>
          <w:szCs w:val="22"/>
        </w:rPr>
        <w:lastRenderedPageBreak/>
        <w:t xml:space="preserve">estate inclusion. The </w:t>
      </w:r>
      <w:r w:rsidRPr="009A2C9F">
        <w:rPr>
          <w:b/>
          <w:sz w:val="22"/>
          <w:szCs w:val="22"/>
        </w:rPr>
        <w:t>bad news</w:t>
      </w:r>
      <w:r w:rsidRPr="00142715">
        <w:rPr>
          <w:sz w:val="22"/>
          <w:szCs w:val="22"/>
        </w:rPr>
        <w:t xml:space="preserve"> is that </w:t>
      </w:r>
      <w:r w:rsidR="001E6F26" w:rsidRPr="00142715">
        <w:rPr>
          <w:sz w:val="22"/>
          <w:szCs w:val="22"/>
        </w:rPr>
        <w:t xml:space="preserve">the spouse may have been lucky enough to live to see either the sunset of the TCJA’s increased exemption or Congress’s lowering of the </w:t>
      </w:r>
      <w:r w:rsidRPr="00142715">
        <w:rPr>
          <w:sz w:val="22"/>
          <w:szCs w:val="22"/>
        </w:rPr>
        <w:t>exemption, resulting in estate tax.</w:t>
      </w:r>
    </w:p>
    <w:p w:rsidR="00142715" w:rsidRDefault="00142715" w:rsidP="005128CD">
      <w:pPr>
        <w:spacing w:line="240" w:lineRule="exact"/>
        <w:ind w:left="1087" w:hanging="540"/>
        <w:rPr>
          <w:sz w:val="22"/>
          <w:szCs w:val="22"/>
        </w:rPr>
      </w:pPr>
    </w:p>
    <w:p w:rsidR="00142715" w:rsidRPr="00142715" w:rsidRDefault="009A2C9F" w:rsidP="005128CD">
      <w:pPr>
        <w:spacing w:line="240" w:lineRule="exact"/>
        <w:ind w:left="1087" w:hanging="540"/>
        <w:rPr>
          <w:sz w:val="22"/>
          <w:szCs w:val="22"/>
        </w:rPr>
      </w:pPr>
      <w:r>
        <w:rPr>
          <w:sz w:val="22"/>
          <w:szCs w:val="22"/>
        </w:rPr>
        <w:t>2</w:t>
      </w:r>
      <w:r w:rsidR="005128CD">
        <w:rPr>
          <w:sz w:val="22"/>
          <w:szCs w:val="22"/>
        </w:rPr>
        <w:t>.</w:t>
      </w:r>
      <w:r w:rsidR="005128CD">
        <w:rPr>
          <w:sz w:val="22"/>
          <w:szCs w:val="22"/>
        </w:rPr>
        <w:tab/>
      </w:r>
      <w:r w:rsidR="00142715">
        <w:rPr>
          <w:sz w:val="22"/>
          <w:szCs w:val="22"/>
        </w:rPr>
        <w:t xml:space="preserve">As for the </w:t>
      </w:r>
      <w:r w:rsidR="00142715" w:rsidRPr="00142715">
        <w:rPr>
          <w:sz w:val="22"/>
          <w:szCs w:val="22"/>
        </w:rPr>
        <w:t xml:space="preserve">portability election, if a spouse </w:t>
      </w:r>
      <w:r w:rsidR="00142715">
        <w:rPr>
          <w:sz w:val="22"/>
          <w:szCs w:val="22"/>
        </w:rPr>
        <w:t xml:space="preserve">dies </w:t>
      </w:r>
      <w:r w:rsidR="00142715" w:rsidRPr="00142715">
        <w:rPr>
          <w:sz w:val="22"/>
          <w:szCs w:val="22"/>
        </w:rPr>
        <w:t>while the higher TCJA exemption</w:t>
      </w:r>
      <w:r w:rsidR="00142715">
        <w:rPr>
          <w:sz w:val="22"/>
          <w:szCs w:val="22"/>
        </w:rPr>
        <w:t xml:space="preserve"> is in place, </w:t>
      </w:r>
      <w:r w:rsidR="00142715" w:rsidRPr="00142715">
        <w:rPr>
          <w:sz w:val="22"/>
          <w:szCs w:val="22"/>
        </w:rPr>
        <w:t>the s</w:t>
      </w:r>
      <w:r w:rsidR="00142715">
        <w:rPr>
          <w:sz w:val="22"/>
          <w:szCs w:val="22"/>
        </w:rPr>
        <w:t xml:space="preserve">urviving will </w:t>
      </w:r>
      <w:r w:rsidR="00142715" w:rsidRPr="00142715">
        <w:rPr>
          <w:sz w:val="22"/>
          <w:szCs w:val="22"/>
        </w:rPr>
        <w:t>have the benefit of the deceased spouse’s $1</w:t>
      </w:r>
      <w:r w:rsidR="00142715">
        <w:rPr>
          <w:sz w:val="22"/>
          <w:szCs w:val="22"/>
        </w:rPr>
        <w:t>1</w:t>
      </w:r>
      <w:r>
        <w:rPr>
          <w:sz w:val="22"/>
          <w:szCs w:val="22"/>
        </w:rPr>
        <w:t>-plus</w:t>
      </w:r>
      <w:r w:rsidR="00142715" w:rsidRPr="00142715">
        <w:rPr>
          <w:sz w:val="22"/>
          <w:szCs w:val="22"/>
        </w:rPr>
        <w:t xml:space="preserve"> million exemption even if the second spouse dies </w:t>
      </w:r>
      <w:r w:rsidR="00142715">
        <w:rPr>
          <w:sz w:val="22"/>
          <w:szCs w:val="22"/>
        </w:rPr>
        <w:t xml:space="preserve">after </w:t>
      </w:r>
      <w:r w:rsidR="00142715" w:rsidRPr="00142715">
        <w:rPr>
          <w:sz w:val="22"/>
          <w:szCs w:val="22"/>
        </w:rPr>
        <w:t>the exemption</w:t>
      </w:r>
      <w:r w:rsidR="00142715">
        <w:rPr>
          <w:sz w:val="22"/>
          <w:szCs w:val="22"/>
        </w:rPr>
        <w:t xml:space="preserve"> has dropped </w:t>
      </w:r>
      <w:r w:rsidR="00142715" w:rsidRPr="00142715">
        <w:rPr>
          <w:sz w:val="22"/>
          <w:szCs w:val="22"/>
        </w:rPr>
        <w:t xml:space="preserve">to </w:t>
      </w:r>
      <w:r w:rsidR="005A23BC">
        <w:rPr>
          <w:sz w:val="22"/>
          <w:szCs w:val="22"/>
        </w:rPr>
        <w:t>a lower</w:t>
      </w:r>
      <w:r w:rsidR="00142715" w:rsidRPr="00142715">
        <w:rPr>
          <w:sz w:val="22"/>
          <w:szCs w:val="22"/>
        </w:rPr>
        <w:t xml:space="preserve"> amount</w:t>
      </w:r>
      <w:r w:rsidR="00142715">
        <w:rPr>
          <w:sz w:val="22"/>
          <w:szCs w:val="22"/>
        </w:rPr>
        <w:t>.</w:t>
      </w:r>
    </w:p>
    <w:p w:rsidR="00AC05FB" w:rsidRDefault="00AC05FB" w:rsidP="005F07C0">
      <w:pPr>
        <w:pStyle w:val="Heading1"/>
        <w:keepNext w:val="0"/>
        <w:tabs>
          <w:tab w:val="left" w:pos="540"/>
        </w:tabs>
        <w:spacing w:line="240" w:lineRule="exact"/>
        <w:jc w:val="center"/>
        <w:rPr>
          <w:rFonts w:ascii="Times New Roman" w:hAnsi="Times New Roman" w:cs="Times New Roman"/>
          <w:color w:val="000000" w:themeColor="text1"/>
        </w:rPr>
      </w:pPr>
      <w:r>
        <w:rPr>
          <w:rFonts w:ascii="Times New Roman" w:hAnsi="Times New Roman" w:cs="Times New Roman"/>
          <w:color w:val="000000" w:themeColor="text1"/>
        </w:rPr>
        <w:t>II</w:t>
      </w:r>
      <w:proofErr w:type="gramStart"/>
      <w:r w:rsidRPr="007C6B5B">
        <w:rPr>
          <w:rFonts w:ascii="Times New Roman" w:hAnsi="Times New Roman" w:cs="Times New Roman"/>
          <w:color w:val="000000" w:themeColor="text1"/>
        </w:rPr>
        <w:t>.  Section</w:t>
      </w:r>
      <w:proofErr w:type="gramEnd"/>
      <w:r w:rsidRPr="007C6B5B">
        <w:rPr>
          <w:rFonts w:ascii="Times New Roman" w:hAnsi="Times New Roman" w:cs="Times New Roman"/>
          <w:color w:val="000000" w:themeColor="text1"/>
        </w:rPr>
        <w:t xml:space="preserve"> </w:t>
      </w:r>
      <w:r>
        <w:rPr>
          <w:rFonts w:ascii="Times New Roman" w:hAnsi="Times New Roman" w:cs="Times New Roman"/>
          <w:color w:val="000000" w:themeColor="text1"/>
        </w:rPr>
        <w:t>67</w:t>
      </w:r>
      <w:r w:rsidRPr="007C6B5B">
        <w:rPr>
          <w:rFonts w:ascii="Times New Roman" w:hAnsi="Times New Roman" w:cs="Times New Roman"/>
          <w:color w:val="000000" w:themeColor="text1"/>
        </w:rPr>
        <w:t>—</w:t>
      </w:r>
      <w:r w:rsidR="005F07C0">
        <w:rPr>
          <w:rFonts w:ascii="Times New Roman" w:hAnsi="Times New Roman" w:cs="Times New Roman"/>
          <w:color w:val="000000" w:themeColor="text1"/>
        </w:rPr>
        <w:t>Miscellaneous Itemized Deductions</w:t>
      </w:r>
    </w:p>
    <w:p w:rsidR="005F07C0" w:rsidRPr="005F07C0" w:rsidRDefault="005F07C0" w:rsidP="005F07C0"/>
    <w:p w:rsidR="001F372A" w:rsidRDefault="00AC05FB" w:rsidP="00CF6FA3">
      <w:pPr>
        <w:spacing w:line="240" w:lineRule="exact"/>
        <w:ind w:left="1080" w:hanging="540"/>
        <w:rPr>
          <w:sz w:val="22"/>
          <w:szCs w:val="22"/>
        </w:rPr>
      </w:pPr>
      <w:r>
        <w:rPr>
          <w:b/>
          <w:sz w:val="22"/>
          <w:szCs w:val="22"/>
        </w:rPr>
        <w:t>A.</w:t>
      </w:r>
      <w:r>
        <w:rPr>
          <w:b/>
          <w:sz w:val="22"/>
          <w:szCs w:val="22"/>
        </w:rPr>
        <w:tab/>
      </w:r>
      <w:r w:rsidR="00CF6FA3">
        <w:rPr>
          <w:b/>
          <w:sz w:val="22"/>
          <w:szCs w:val="22"/>
        </w:rPr>
        <w:t>Regulations will clarify that estate and trust administration fees can continue to be deductible</w:t>
      </w:r>
      <w:r>
        <w:rPr>
          <w:b/>
          <w:sz w:val="22"/>
          <w:szCs w:val="22"/>
        </w:rPr>
        <w:t xml:space="preserve">. </w:t>
      </w:r>
      <w:r w:rsidR="00CF6FA3">
        <w:rPr>
          <w:sz w:val="22"/>
          <w:szCs w:val="22"/>
        </w:rPr>
        <w:t xml:space="preserve">The </w:t>
      </w:r>
      <w:r w:rsidR="00CF6FA3" w:rsidRPr="007E32D0">
        <w:rPr>
          <w:sz w:val="22"/>
          <w:szCs w:val="22"/>
        </w:rPr>
        <w:t>Tax Cuts and Jobs Act of 2017</w:t>
      </w:r>
      <w:r w:rsidR="00CF6FA3">
        <w:rPr>
          <w:sz w:val="22"/>
          <w:szCs w:val="22"/>
        </w:rPr>
        <w:t xml:space="preserve"> enacted a new </w:t>
      </w:r>
      <w:r w:rsidR="00CF6FA3" w:rsidRPr="00142715">
        <w:rPr>
          <w:sz w:val="22"/>
          <w:szCs w:val="22"/>
        </w:rPr>
        <w:t>§</w:t>
      </w:r>
      <w:r w:rsidR="00CF6FA3">
        <w:rPr>
          <w:sz w:val="22"/>
          <w:szCs w:val="22"/>
        </w:rPr>
        <w:t>67(g), under which “</w:t>
      </w:r>
      <w:r w:rsidR="00CF6FA3" w:rsidRPr="005F07C0">
        <w:rPr>
          <w:sz w:val="22"/>
          <w:szCs w:val="22"/>
        </w:rPr>
        <w:t xml:space="preserve">no miscellaneous itemized deduction shall be allowed for any </w:t>
      </w:r>
      <w:hyperlink r:id="rId12" w:tooltip="taxable year" w:history="1">
        <w:r w:rsidR="00CF6FA3" w:rsidRPr="005F07C0">
          <w:rPr>
            <w:sz w:val="22"/>
            <w:szCs w:val="22"/>
          </w:rPr>
          <w:t>taxable year</w:t>
        </w:r>
      </w:hyperlink>
      <w:r w:rsidR="00CF6FA3" w:rsidRPr="005F07C0">
        <w:rPr>
          <w:sz w:val="22"/>
          <w:szCs w:val="22"/>
        </w:rPr>
        <w:t xml:space="preserve"> beginning after December 31, 2017, and before January 1, 2026.</w:t>
      </w:r>
      <w:r w:rsidR="00CF6FA3">
        <w:rPr>
          <w:sz w:val="22"/>
          <w:szCs w:val="22"/>
        </w:rPr>
        <w:t xml:space="preserve">” This raised a concern, as the new statute could be read to overturn </w:t>
      </w:r>
      <w:r w:rsidR="00CF6FA3" w:rsidRPr="00142715">
        <w:rPr>
          <w:sz w:val="22"/>
          <w:szCs w:val="22"/>
        </w:rPr>
        <w:t>§</w:t>
      </w:r>
      <w:r w:rsidR="00CF6FA3">
        <w:rPr>
          <w:sz w:val="22"/>
          <w:szCs w:val="22"/>
        </w:rPr>
        <w:t>67(e)(1), permitting “</w:t>
      </w:r>
      <w:r w:rsidR="00CF6FA3" w:rsidRPr="00CF6FA3">
        <w:rPr>
          <w:sz w:val="22"/>
          <w:szCs w:val="22"/>
        </w:rPr>
        <w:t xml:space="preserve">deductions for costs which are </w:t>
      </w:r>
      <w:hyperlink r:id="rId13" w:tooltip="paid or incurred" w:history="1">
        <w:r w:rsidR="00CF6FA3" w:rsidRPr="00CF6FA3">
          <w:rPr>
            <w:sz w:val="22"/>
            <w:szCs w:val="22"/>
          </w:rPr>
          <w:t>paid or incurred</w:t>
        </w:r>
      </w:hyperlink>
      <w:r w:rsidR="00CF6FA3" w:rsidRPr="00CF6FA3">
        <w:rPr>
          <w:sz w:val="22"/>
          <w:szCs w:val="22"/>
        </w:rPr>
        <w:t xml:space="preserve"> in connection with the administration of the estate or trust and which would not have been incurred if the property were n</w:t>
      </w:r>
      <w:r w:rsidR="00CF6FA3">
        <w:rPr>
          <w:sz w:val="22"/>
          <w:szCs w:val="22"/>
        </w:rPr>
        <w:t>ot held in such trust or estate.”</w:t>
      </w:r>
    </w:p>
    <w:p w:rsidR="001F372A" w:rsidRDefault="001F372A" w:rsidP="00CF6FA3">
      <w:pPr>
        <w:spacing w:line="240" w:lineRule="exact"/>
        <w:ind w:left="1080" w:hanging="540"/>
        <w:rPr>
          <w:sz w:val="22"/>
          <w:szCs w:val="22"/>
        </w:rPr>
      </w:pPr>
    </w:p>
    <w:p w:rsidR="001F372A" w:rsidRDefault="001F372A" w:rsidP="001F372A">
      <w:pPr>
        <w:spacing w:line="240" w:lineRule="exact"/>
        <w:ind w:left="1620" w:hanging="540"/>
        <w:rPr>
          <w:sz w:val="22"/>
          <w:szCs w:val="22"/>
        </w:rPr>
      </w:pPr>
      <w:r>
        <w:rPr>
          <w:sz w:val="22"/>
          <w:szCs w:val="22"/>
        </w:rPr>
        <w:t>1.</w:t>
      </w:r>
      <w:r>
        <w:rPr>
          <w:sz w:val="22"/>
          <w:szCs w:val="22"/>
        </w:rPr>
        <w:tab/>
        <w:t>The IRS issued a “clarification” in Notice 2018-61, 2018-31 I.R.B. 278, advising that regulations will be published making it clear that “</w:t>
      </w:r>
      <w:r w:rsidRPr="001F372A">
        <w:rPr>
          <w:sz w:val="22"/>
          <w:szCs w:val="22"/>
        </w:rPr>
        <w:t xml:space="preserve">estates and non-grantor trusts may continue to deduct expenses described in </w:t>
      </w:r>
      <w:hyperlink r:id="rId14" w:anchor="co_pp_06a60000dfdc6" w:history="1">
        <w:r w:rsidRPr="001F372A">
          <w:rPr>
            <w:sz w:val="22"/>
            <w:szCs w:val="22"/>
          </w:rPr>
          <w:t>section 67(e)(1)</w:t>
        </w:r>
      </w:hyperlink>
      <w:r w:rsidRPr="001F372A">
        <w:rPr>
          <w:sz w:val="22"/>
          <w:szCs w:val="22"/>
        </w:rPr>
        <w:t xml:space="preserve"> and amounts allowable as deductions under </w:t>
      </w:r>
      <w:hyperlink r:id="rId15" w:anchor="co_pp_a83b000018c76" w:history="1">
        <w:r w:rsidRPr="001F372A">
          <w:rPr>
            <w:sz w:val="22"/>
            <w:szCs w:val="22"/>
          </w:rPr>
          <w:t>section 642(b)</w:t>
        </w:r>
      </w:hyperlink>
      <w:r w:rsidRPr="001F372A">
        <w:rPr>
          <w:sz w:val="22"/>
          <w:szCs w:val="22"/>
        </w:rPr>
        <w:t xml:space="preserve">, </w:t>
      </w:r>
      <w:hyperlink r:id="rId16" w:history="1">
        <w:r w:rsidRPr="001F372A">
          <w:rPr>
            <w:sz w:val="22"/>
            <w:szCs w:val="22"/>
          </w:rPr>
          <w:t>651</w:t>
        </w:r>
      </w:hyperlink>
      <w:r w:rsidRPr="001F372A">
        <w:rPr>
          <w:sz w:val="22"/>
          <w:szCs w:val="22"/>
        </w:rPr>
        <w:t xml:space="preserve"> or </w:t>
      </w:r>
      <w:hyperlink r:id="rId17" w:history="1">
        <w:r w:rsidRPr="001F372A">
          <w:rPr>
            <w:sz w:val="22"/>
            <w:szCs w:val="22"/>
          </w:rPr>
          <w:t>661</w:t>
        </w:r>
      </w:hyperlink>
      <w:r w:rsidRPr="001F372A">
        <w:rPr>
          <w:sz w:val="22"/>
          <w:szCs w:val="22"/>
        </w:rPr>
        <w:t>, including the appropriate portion of a bundled fee, in determining the estate or non-grantor trust's adjusted gross income during taxable years</w:t>
      </w:r>
      <w:r>
        <w:rPr>
          <w:sz w:val="22"/>
          <w:szCs w:val="22"/>
        </w:rPr>
        <w:t>.”</w:t>
      </w:r>
    </w:p>
    <w:p w:rsidR="006A0EEC" w:rsidRDefault="006A0EEC" w:rsidP="001F372A">
      <w:pPr>
        <w:spacing w:line="240" w:lineRule="exact"/>
        <w:ind w:left="1620" w:hanging="540"/>
        <w:rPr>
          <w:sz w:val="22"/>
          <w:szCs w:val="22"/>
        </w:rPr>
      </w:pPr>
    </w:p>
    <w:p w:rsidR="006A0EEC" w:rsidRDefault="006A0EEC" w:rsidP="006A0EEC">
      <w:pPr>
        <w:spacing w:line="240" w:lineRule="exact"/>
        <w:ind w:left="1620" w:hanging="540"/>
        <w:rPr>
          <w:sz w:val="22"/>
          <w:szCs w:val="22"/>
        </w:rPr>
      </w:pPr>
      <w:r>
        <w:rPr>
          <w:sz w:val="22"/>
          <w:szCs w:val="22"/>
        </w:rPr>
        <w:t>2.</w:t>
      </w:r>
      <w:r>
        <w:rPr>
          <w:sz w:val="22"/>
          <w:szCs w:val="22"/>
        </w:rPr>
        <w:tab/>
        <w:t xml:space="preserve">It is </w:t>
      </w:r>
      <w:r w:rsidR="00E47D48">
        <w:rPr>
          <w:sz w:val="22"/>
          <w:szCs w:val="22"/>
        </w:rPr>
        <w:t>un</w:t>
      </w:r>
      <w:r>
        <w:rPr>
          <w:sz w:val="22"/>
          <w:szCs w:val="22"/>
        </w:rPr>
        <w:t>clear, however, whether beneficiaries can continue to claim, under</w:t>
      </w:r>
      <w:r w:rsidR="00E47D48">
        <w:rPr>
          <w:sz w:val="22"/>
          <w:szCs w:val="22"/>
        </w:rPr>
        <w:t xml:space="preserve"> </w:t>
      </w:r>
      <w:r w:rsidRPr="00142715">
        <w:rPr>
          <w:sz w:val="22"/>
          <w:szCs w:val="22"/>
        </w:rPr>
        <w:t>§</w:t>
      </w:r>
      <w:r>
        <w:rPr>
          <w:sz w:val="22"/>
          <w:szCs w:val="22"/>
        </w:rPr>
        <w:t>642(h), excess deductions on an estate or trust’s termination. Notice 2018-61 states: “</w:t>
      </w:r>
      <w:r w:rsidRPr="006A0EEC">
        <w:rPr>
          <w:sz w:val="22"/>
          <w:szCs w:val="22"/>
        </w:rPr>
        <w:t xml:space="preserve">The Treasury Department and the IRS are studying whether </w:t>
      </w:r>
      <w:hyperlink r:id="rId18" w:anchor="co_pp_7fdd00001ca15" w:history="1">
        <w:r w:rsidRPr="006A0EEC">
          <w:rPr>
            <w:sz w:val="22"/>
            <w:szCs w:val="22"/>
          </w:rPr>
          <w:t>section 67(e)</w:t>
        </w:r>
      </w:hyperlink>
      <w:r w:rsidRPr="006A0EEC">
        <w:rPr>
          <w:sz w:val="22"/>
          <w:szCs w:val="22"/>
        </w:rPr>
        <w:t xml:space="preserve"> deductions, as well as other deductions that would not be subject to the limitations imposed by sections 67(a) and (g) in the hands of the trust or estate, should continue to be treated as miscellaneous itemized deductions when they are included as a </w:t>
      </w:r>
      <w:hyperlink r:id="rId19" w:anchor="co_pp_1d410000745d2" w:history="1">
        <w:r w:rsidRPr="006A0EEC">
          <w:rPr>
            <w:sz w:val="22"/>
            <w:szCs w:val="22"/>
          </w:rPr>
          <w:t>section 642(h)(2)</w:t>
        </w:r>
      </w:hyperlink>
      <w:r w:rsidRPr="006A0EEC">
        <w:rPr>
          <w:sz w:val="22"/>
          <w:szCs w:val="22"/>
        </w:rPr>
        <w:t xml:space="preserve"> excess deduction.</w:t>
      </w:r>
      <w:r>
        <w:rPr>
          <w:sz w:val="22"/>
          <w:szCs w:val="22"/>
        </w:rPr>
        <w:t>”</w:t>
      </w:r>
    </w:p>
    <w:p w:rsidR="00AC05FB" w:rsidRPr="00F1260A" w:rsidRDefault="00AC05FB" w:rsidP="00AC05FB">
      <w:pPr>
        <w:pStyle w:val="Heading1"/>
        <w:keepNext w:val="0"/>
        <w:tabs>
          <w:tab w:val="left" w:pos="540"/>
        </w:tabs>
        <w:spacing w:line="240" w:lineRule="exact"/>
        <w:jc w:val="center"/>
        <w:rPr>
          <w:rFonts w:ascii="Times New Roman" w:hAnsi="Times New Roman" w:cs="Times New Roman"/>
          <w:color w:val="000000" w:themeColor="text1"/>
        </w:rPr>
      </w:pPr>
      <w:r>
        <w:rPr>
          <w:rFonts w:ascii="Times New Roman" w:hAnsi="Times New Roman" w:cs="Times New Roman"/>
          <w:color w:val="000000" w:themeColor="text1"/>
        </w:rPr>
        <w:t>I</w:t>
      </w:r>
      <w:r w:rsidR="00C9286B">
        <w:rPr>
          <w:rFonts w:ascii="Times New Roman" w:hAnsi="Times New Roman" w:cs="Times New Roman"/>
          <w:color w:val="000000" w:themeColor="text1"/>
        </w:rPr>
        <w:t>II</w:t>
      </w:r>
      <w:proofErr w:type="gramStart"/>
      <w:r w:rsidRPr="00790866">
        <w:rPr>
          <w:rFonts w:ascii="Times New Roman" w:hAnsi="Times New Roman" w:cs="Times New Roman"/>
          <w:color w:val="000000" w:themeColor="text1"/>
        </w:rPr>
        <w:t>.  Section</w:t>
      </w:r>
      <w:proofErr w:type="gramEnd"/>
      <w:r w:rsidRPr="00790866">
        <w:rPr>
          <w:rFonts w:ascii="Times New Roman" w:hAnsi="Times New Roman" w:cs="Times New Roman"/>
          <w:color w:val="000000" w:themeColor="text1"/>
        </w:rPr>
        <w:t xml:space="preserve"> </w:t>
      </w:r>
      <w:r>
        <w:rPr>
          <w:rFonts w:ascii="Times New Roman" w:hAnsi="Times New Roman" w:cs="Times New Roman"/>
          <w:color w:val="000000" w:themeColor="text1"/>
        </w:rPr>
        <w:t>1014</w:t>
      </w:r>
      <w:r w:rsidRPr="00A90C20">
        <w:rPr>
          <w:rFonts w:ascii="Times New Roman" w:hAnsi="Times New Roman" w:cs="Times New Roman"/>
          <w:color w:val="000000" w:themeColor="text1"/>
        </w:rPr>
        <w:t>—</w:t>
      </w:r>
      <w:r>
        <w:rPr>
          <w:rFonts w:ascii="Times New Roman" w:hAnsi="Times New Roman" w:cs="Times New Roman"/>
          <w:color w:val="000000" w:themeColor="text1"/>
        </w:rPr>
        <w:t>Basis of Property Acquired From a Decedent</w:t>
      </w:r>
    </w:p>
    <w:p w:rsidR="00AC05FB" w:rsidRDefault="00AC05FB" w:rsidP="00AC05FB">
      <w:pPr>
        <w:jc w:val="left"/>
        <w:rPr>
          <w:sz w:val="22"/>
          <w:szCs w:val="22"/>
          <w:u w:val="single"/>
        </w:rPr>
      </w:pPr>
    </w:p>
    <w:p w:rsidR="00AC05FB" w:rsidRPr="00E25A6F" w:rsidRDefault="00AC05FB" w:rsidP="00AC05FB">
      <w:pPr>
        <w:spacing w:line="240" w:lineRule="exact"/>
        <w:ind w:left="540" w:hanging="540"/>
        <w:rPr>
          <w:sz w:val="22"/>
          <w:szCs w:val="22"/>
        </w:rPr>
      </w:pPr>
      <w:r w:rsidRPr="00E25A6F">
        <w:rPr>
          <w:b/>
          <w:sz w:val="22"/>
          <w:szCs w:val="22"/>
        </w:rPr>
        <w:t>A.</w:t>
      </w:r>
      <w:r w:rsidRPr="00E25A6F">
        <w:rPr>
          <w:b/>
          <w:sz w:val="22"/>
          <w:szCs w:val="22"/>
        </w:rPr>
        <w:tab/>
        <w:t>New focus: Income tax planning</w:t>
      </w:r>
      <w:r w:rsidRPr="00E25A6F">
        <w:rPr>
          <w:sz w:val="22"/>
          <w:szCs w:val="22"/>
        </w:rPr>
        <w:t xml:space="preserve">. For the vast majority of our clients, </w:t>
      </w:r>
      <w:r w:rsidR="00F8632A">
        <w:rPr>
          <w:sz w:val="22"/>
          <w:szCs w:val="22"/>
        </w:rPr>
        <w:t>any concern about taxes will</w:t>
      </w:r>
      <w:r w:rsidRPr="00E25A6F">
        <w:rPr>
          <w:sz w:val="22"/>
          <w:szCs w:val="22"/>
        </w:rPr>
        <w:t xml:space="preserve"> focus </w:t>
      </w:r>
      <w:r w:rsidR="00F8632A">
        <w:rPr>
          <w:sz w:val="22"/>
          <w:szCs w:val="22"/>
        </w:rPr>
        <w:t>on</w:t>
      </w:r>
      <w:r w:rsidRPr="00E25A6F">
        <w:rPr>
          <w:sz w:val="22"/>
          <w:szCs w:val="22"/>
        </w:rPr>
        <w:t xml:space="preserve"> income tax planning—and, in particular, planning to secure a step-up in basis for the client’s successors who acquire property from the decedent. </w:t>
      </w:r>
      <w:r w:rsidR="00E25A6F" w:rsidRPr="00E25A6F">
        <w:rPr>
          <w:sz w:val="22"/>
          <w:szCs w:val="22"/>
        </w:rPr>
        <w:t>While the ink is not yet dry on suggested planning steps that might be taken to secure a step-up in basis, here is a brief list of techniques that are being discussed.</w:t>
      </w:r>
    </w:p>
    <w:p w:rsidR="00AC05FB" w:rsidRDefault="00AC05FB" w:rsidP="00AC05FB">
      <w:pPr>
        <w:spacing w:line="240" w:lineRule="exact"/>
        <w:ind w:left="540" w:hanging="540"/>
        <w:rPr>
          <w:sz w:val="22"/>
          <w:szCs w:val="22"/>
        </w:rPr>
      </w:pPr>
    </w:p>
    <w:p w:rsidR="006F6ACE" w:rsidRDefault="00E25A6F" w:rsidP="00E25A6F">
      <w:pPr>
        <w:pStyle w:val="Heading20"/>
        <w:tabs>
          <w:tab w:val="left" w:pos="540"/>
        </w:tabs>
        <w:spacing w:line="240" w:lineRule="exact"/>
        <w:ind w:left="1087" w:hanging="547"/>
      </w:pPr>
      <w:r>
        <w:t>1</w:t>
      </w:r>
      <w:r w:rsidR="00AC05FB">
        <w:t>.</w:t>
      </w:r>
      <w:r w:rsidR="00AC05FB">
        <w:tab/>
      </w:r>
      <w:r w:rsidR="00AC05FB" w:rsidRPr="0053176D">
        <w:rPr>
          <w:b/>
        </w:rPr>
        <w:t>Give the trustee (not a beneficiary-trustee) a discretionary power to distribute assets out of the trust to the beneficiary</w:t>
      </w:r>
      <w:r w:rsidR="00AC05FB">
        <w:t>.</w:t>
      </w:r>
      <w:r w:rsidR="006F6ACE">
        <w:t xml:space="preserve"> It would be appropriate to use precatory language as to the settlor’s intent. </w:t>
      </w:r>
      <w:r w:rsidR="006F6ACE" w:rsidRPr="006F6ACE">
        <w:rPr>
          <w:i/>
        </w:rPr>
        <w:t>E.g.,</w:t>
      </w:r>
      <w:r w:rsidR="006F6ACE">
        <w:t xml:space="preserve"> “I suggest that the Trustee consider exercising the power so that, upon the beneficiary’s death, his or her estate may utilize the basis increase allowed under Internal Revenue Code Section 1014.”</w:t>
      </w:r>
    </w:p>
    <w:p w:rsidR="006F6ACE" w:rsidRDefault="006F6ACE" w:rsidP="00E25A6F">
      <w:pPr>
        <w:pStyle w:val="Heading20"/>
        <w:tabs>
          <w:tab w:val="left" w:pos="540"/>
        </w:tabs>
        <w:spacing w:line="240" w:lineRule="exact"/>
        <w:ind w:left="1087" w:hanging="547"/>
      </w:pPr>
    </w:p>
    <w:p w:rsidR="00AC05FB" w:rsidRDefault="006F6ACE" w:rsidP="006F6ACE">
      <w:pPr>
        <w:pStyle w:val="Heading20"/>
        <w:tabs>
          <w:tab w:val="left" w:pos="540"/>
        </w:tabs>
        <w:spacing w:line="240" w:lineRule="exact"/>
        <w:ind w:left="1634" w:hanging="547"/>
      </w:pPr>
      <w:r>
        <w:t>a.</w:t>
      </w:r>
      <w:r>
        <w:tab/>
        <w:t xml:space="preserve">For an existing bypass trust, this would be appropriate if </w:t>
      </w:r>
      <w:r w:rsidR="00991E28">
        <w:t>(</w:t>
      </w:r>
      <w:proofErr w:type="spellStart"/>
      <w:r w:rsidR="00991E28">
        <w:t>i</w:t>
      </w:r>
      <w:proofErr w:type="spellEnd"/>
      <w:r w:rsidR="00991E28">
        <w:t xml:space="preserve">) </w:t>
      </w:r>
      <w:r>
        <w:t xml:space="preserve">the distribution of principal is authorized and will not breach the trustee’s fiduciary duty to the </w:t>
      </w:r>
      <w:proofErr w:type="spellStart"/>
      <w:r>
        <w:t>remaindrmen</w:t>
      </w:r>
      <w:proofErr w:type="spellEnd"/>
      <w:r>
        <w:t>, and (ii) loss of divorce protection and creditor protection is not a concern.</w:t>
      </w:r>
    </w:p>
    <w:p w:rsidR="00AC05FB" w:rsidRDefault="00AC05FB" w:rsidP="006F6ACE">
      <w:pPr>
        <w:pStyle w:val="Heading20"/>
        <w:tabs>
          <w:tab w:val="left" w:pos="540"/>
        </w:tabs>
        <w:spacing w:line="240" w:lineRule="exact"/>
        <w:ind w:left="1634" w:hanging="547"/>
      </w:pPr>
    </w:p>
    <w:p w:rsidR="00AC05FB" w:rsidRDefault="00E25A6F" w:rsidP="00E25A6F">
      <w:pPr>
        <w:pStyle w:val="Heading20"/>
        <w:tabs>
          <w:tab w:val="left" w:pos="540"/>
        </w:tabs>
        <w:spacing w:line="240" w:lineRule="exact"/>
        <w:ind w:left="1087" w:hanging="547"/>
      </w:pPr>
      <w:r>
        <w:lastRenderedPageBreak/>
        <w:t>2</w:t>
      </w:r>
      <w:r w:rsidR="00AC05FB">
        <w:t>.</w:t>
      </w:r>
      <w:r w:rsidR="00AC05FB">
        <w:tab/>
      </w:r>
      <w:r w:rsidR="00AC05FB" w:rsidRPr="0053176D">
        <w:rPr>
          <w:b/>
        </w:rPr>
        <w:t xml:space="preserve">Give an independent party the power to grant a </w:t>
      </w:r>
      <w:r w:rsidR="009A2C9F">
        <w:rPr>
          <w:b/>
        </w:rPr>
        <w:t xml:space="preserve">“limited” </w:t>
      </w:r>
      <w:r w:rsidR="00AC05FB" w:rsidRPr="0053176D">
        <w:rPr>
          <w:b/>
        </w:rPr>
        <w:t>general power of appointment to the beneficiary</w:t>
      </w:r>
      <w:r w:rsidR="00AC05FB">
        <w:t>. Jason Flaherty (Brink Bennett Flaherty, Austin) has suggested this clause:</w:t>
      </w:r>
    </w:p>
    <w:p w:rsidR="00AC05FB" w:rsidRDefault="00AC05FB" w:rsidP="00E25A6F">
      <w:pPr>
        <w:pStyle w:val="Heading20"/>
        <w:tabs>
          <w:tab w:val="left" w:pos="540"/>
        </w:tabs>
        <w:spacing w:line="240" w:lineRule="exact"/>
        <w:ind w:left="1087" w:hanging="547"/>
      </w:pPr>
    </w:p>
    <w:p w:rsidR="00AC05FB" w:rsidRDefault="00AC05FB" w:rsidP="00E25A6F">
      <w:pPr>
        <w:pStyle w:val="Heading20"/>
        <w:tabs>
          <w:tab w:val="left" w:pos="540"/>
        </w:tabs>
        <w:spacing w:line="240" w:lineRule="exact"/>
        <w:ind w:left="1087" w:hanging="547"/>
      </w:pPr>
      <w:r>
        <w:tab/>
        <w:t>“The Independent Trustee may grant the beneficiary of a trust a testamentary power to appoint all or part of the trust or trust share to the creditors of the beneficiary’s estate. Any testamentary power of appointment granted by the Independent Trustee must be in writing and may be revoked at any time during the lifetime of the beneficiary to whom the power was given. I suggest that the Independent Trustee consider exercising this authority when it may reduce generation-skipping transfer taxes or so that, upon the beneficiary’s death, his or her estate may utilize the basis increase allowed under Internal Revenue Code Section 1014.”</w:t>
      </w:r>
    </w:p>
    <w:p w:rsidR="00F8632A" w:rsidRDefault="00F8632A" w:rsidP="00E25A6F">
      <w:pPr>
        <w:pStyle w:val="Heading20"/>
        <w:tabs>
          <w:tab w:val="left" w:pos="540"/>
        </w:tabs>
        <w:spacing w:line="240" w:lineRule="exact"/>
        <w:ind w:left="1087" w:hanging="547"/>
      </w:pPr>
    </w:p>
    <w:p w:rsidR="00AC05FB" w:rsidRDefault="00E25A6F" w:rsidP="00E25A6F">
      <w:pPr>
        <w:pStyle w:val="Heading20"/>
        <w:tabs>
          <w:tab w:val="left" w:pos="540"/>
        </w:tabs>
        <w:spacing w:line="240" w:lineRule="exact"/>
        <w:ind w:left="1087" w:hanging="547"/>
      </w:pPr>
      <w:r>
        <w:t>3</w:t>
      </w:r>
      <w:r w:rsidR="00AC05FB">
        <w:t>.</w:t>
      </w:r>
      <w:r w:rsidR="00AC05FB">
        <w:tab/>
      </w:r>
      <w:r w:rsidR="00AC05FB" w:rsidRPr="0053176D">
        <w:rPr>
          <w:b/>
        </w:rPr>
        <w:t>The Delaware Tax Trap</w:t>
      </w:r>
      <w:r w:rsidR="00AC05FB">
        <w:t>, leading to a gross estate inclusion if the holder of a special testamentary power of appointment exercises the power by giving the appointee a presently exercisable general power of appointment.</w:t>
      </w:r>
    </w:p>
    <w:p w:rsidR="00E25A6F" w:rsidRDefault="00E25A6F" w:rsidP="00E25A6F">
      <w:pPr>
        <w:pStyle w:val="Heading20"/>
        <w:tabs>
          <w:tab w:val="left" w:pos="540"/>
        </w:tabs>
        <w:spacing w:line="240" w:lineRule="exact"/>
        <w:ind w:left="1087" w:hanging="547"/>
      </w:pPr>
    </w:p>
    <w:p w:rsidR="00E25A6F" w:rsidRDefault="00E25A6F" w:rsidP="00E25A6F">
      <w:pPr>
        <w:pStyle w:val="Heading20"/>
        <w:tabs>
          <w:tab w:val="left" w:pos="540"/>
        </w:tabs>
        <w:spacing w:line="240" w:lineRule="exact"/>
        <w:ind w:left="1087" w:hanging="547"/>
      </w:pPr>
      <w:r>
        <w:t>4.</w:t>
      </w:r>
      <w:r>
        <w:tab/>
      </w:r>
      <w:r w:rsidRPr="0053176D">
        <w:rPr>
          <w:b/>
        </w:rPr>
        <w:t xml:space="preserve">Give a </w:t>
      </w:r>
      <w:proofErr w:type="spellStart"/>
      <w:r w:rsidRPr="0053176D">
        <w:rPr>
          <w:b/>
        </w:rPr>
        <w:t>remainderman</w:t>
      </w:r>
      <w:proofErr w:type="spellEnd"/>
      <w:r w:rsidRPr="0053176D">
        <w:rPr>
          <w:b/>
        </w:rPr>
        <w:t xml:space="preserve"> an inter </w:t>
      </w:r>
      <w:proofErr w:type="spellStart"/>
      <w:r w:rsidRPr="0053176D">
        <w:rPr>
          <w:b/>
        </w:rPr>
        <w:t>vivos</w:t>
      </w:r>
      <w:proofErr w:type="spellEnd"/>
      <w:r w:rsidRPr="0053176D">
        <w:rPr>
          <w:b/>
        </w:rPr>
        <w:t xml:space="preserve"> special power of appointment to appoint assets to the income beneficiary</w:t>
      </w:r>
      <w:r>
        <w:t xml:space="preserve">. The bypass </w:t>
      </w:r>
      <w:r w:rsidR="00991E28">
        <w:t>would be</w:t>
      </w:r>
      <w:r w:rsidR="00F27D09">
        <w:t xml:space="preserve"> drafted so as to </w:t>
      </w:r>
      <w:r>
        <w:t xml:space="preserve">give Mom </w:t>
      </w:r>
      <w:r w:rsidR="00F27D09">
        <w:t>a mandatory or</w:t>
      </w:r>
      <w:r>
        <w:t xml:space="preserve"> discretionary income interest for life. On Mom’s death the trust is to continue, but is </w:t>
      </w:r>
      <w:r w:rsidR="00F27D09">
        <w:t xml:space="preserve">to be </w:t>
      </w:r>
      <w:r>
        <w:t xml:space="preserve">divided into </w:t>
      </w:r>
      <w:proofErr w:type="spellStart"/>
      <w:r>
        <w:t>stirpital</w:t>
      </w:r>
      <w:proofErr w:type="spellEnd"/>
      <w:r>
        <w:t xml:space="preserve"> shares for the three children (and their descendants). The trust gives son John a special inter </w:t>
      </w:r>
      <w:proofErr w:type="spellStart"/>
      <w:r>
        <w:t>vivos</w:t>
      </w:r>
      <w:proofErr w:type="spellEnd"/>
      <w:r>
        <w:t xml:space="preserve"> power to appoint trust assets to Mom (and a backup special inter </w:t>
      </w:r>
      <w:proofErr w:type="spellStart"/>
      <w:r>
        <w:t>vivos</w:t>
      </w:r>
      <w:proofErr w:type="spellEnd"/>
      <w:r>
        <w:t xml:space="preserve"> power of appointment to daughter Donna if John </w:t>
      </w:r>
      <w:r w:rsidR="00F526BA">
        <w:t>predeceases Mom</w:t>
      </w:r>
      <w:r>
        <w:t>).</w:t>
      </w:r>
      <w:r w:rsidR="00F526BA">
        <w:t xml:space="preserve"> Mom is now in her 80s and in poor health. The trust includes assets that have appreciated substantially since Dad’s death ten years ago. John exercises the power of appointment by appointing those assets outright to Mom. When Mom dies, the assets will receive a new basis.</w:t>
      </w:r>
    </w:p>
    <w:p w:rsidR="00F526BA" w:rsidRDefault="00F526BA" w:rsidP="00E25A6F">
      <w:pPr>
        <w:pStyle w:val="Heading20"/>
        <w:tabs>
          <w:tab w:val="left" w:pos="540"/>
        </w:tabs>
        <w:spacing w:line="240" w:lineRule="exact"/>
        <w:ind w:left="1087" w:hanging="547"/>
      </w:pPr>
    </w:p>
    <w:p w:rsidR="00E15EBC" w:rsidRDefault="00F27D09" w:rsidP="00E15EBC">
      <w:pPr>
        <w:pStyle w:val="Heading20"/>
        <w:tabs>
          <w:tab w:val="left" w:pos="540"/>
        </w:tabs>
        <w:spacing w:line="240" w:lineRule="exact"/>
        <w:ind w:left="1634" w:hanging="547"/>
      </w:pPr>
      <w:r>
        <w:t>a</w:t>
      </w:r>
      <w:r w:rsidR="00F526BA">
        <w:t>.</w:t>
      </w:r>
      <w:r w:rsidR="00F526BA">
        <w:tab/>
        <w:t>Will John have made a taxable gift by exercising the power of appointment—when he has a remainder beneficial interest in the trust? (Is it a contingent interest or a vested remainder subject to total divestment? Without reading the trust language I don’t know—and I don’t care.) I d</w:t>
      </w:r>
      <w:r w:rsidR="00E15EBC">
        <w:t>o not</w:t>
      </w:r>
      <w:r w:rsidR="00F526BA">
        <w:t xml:space="preserve"> believe that John will have made a taxable gift</w:t>
      </w:r>
      <w:r w:rsidR="00E15EBC">
        <w:t xml:space="preserve">; </w:t>
      </w:r>
      <w:r w:rsidR="00F526BA">
        <w:t xml:space="preserve">that will be my reporting position. And </w:t>
      </w:r>
      <w:r w:rsidR="00E15EBC">
        <w:t xml:space="preserve">if that is my “reporting” position, John will not file a Form 709 gift tax return. And even if John has made a taxable gift, </w:t>
      </w:r>
      <w:r w:rsidR="00991E28">
        <w:t>so what? H</w:t>
      </w:r>
      <w:r w:rsidR="00E15EBC">
        <w:t>e has that $11.</w:t>
      </w:r>
      <w:r>
        <w:t>18</w:t>
      </w:r>
      <w:r w:rsidR="00E15EBC">
        <w:t xml:space="preserve"> million exemption.</w:t>
      </w:r>
    </w:p>
    <w:p w:rsidR="009A2C9F" w:rsidRDefault="009A2C9F" w:rsidP="00E15EBC">
      <w:pPr>
        <w:pStyle w:val="Heading20"/>
        <w:tabs>
          <w:tab w:val="left" w:pos="540"/>
        </w:tabs>
        <w:spacing w:line="240" w:lineRule="exact"/>
        <w:ind w:left="1634" w:hanging="547"/>
      </w:pPr>
    </w:p>
    <w:p w:rsidR="0053176D" w:rsidRDefault="009A2C9F" w:rsidP="00E15EBC">
      <w:pPr>
        <w:pStyle w:val="Heading20"/>
        <w:tabs>
          <w:tab w:val="left" w:pos="540"/>
        </w:tabs>
        <w:spacing w:line="240" w:lineRule="exact"/>
        <w:ind w:left="1634" w:hanging="547"/>
      </w:pPr>
      <w:r>
        <w:t>b.</w:t>
      </w:r>
      <w:r>
        <w:tab/>
      </w:r>
      <w:r w:rsidRPr="007879BC">
        <w:rPr>
          <w:b/>
        </w:rPr>
        <w:t xml:space="preserve">Is </w:t>
      </w:r>
      <w:r w:rsidR="007879BC" w:rsidRPr="007879BC">
        <w:rPr>
          <w:b/>
        </w:rPr>
        <w:t>§1014</w:t>
      </w:r>
      <w:r w:rsidR="007879BC">
        <w:rPr>
          <w:b/>
        </w:rPr>
        <w:t>(e)</w:t>
      </w:r>
      <w:r w:rsidR="007879BC" w:rsidRPr="007879BC">
        <w:rPr>
          <w:b/>
        </w:rPr>
        <w:t xml:space="preserve"> a concern if Mom (the </w:t>
      </w:r>
      <w:proofErr w:type="spellStart"/>
      <w:r w:rsidR="007879BC" w:rsidRPr="007879BC">
        <w:rPr>
          <w:b/>
        </w:rPr>
        <w:t>donee</w:t>
      </w:r>
      <w:proofErr w:type="spellEnd"/>
      <w:r w:rsidR="007879BC" w:rsidRPr="007879BC">
        <w:rPr>
          <w:b/>
        </w:rPr>
        <w:t>) dies within one year?</w:t>
      </w:r>
      <w:r w:rsidR="007879BC">
        <w:t xml:space="preserve"> Under </w:t>
      </w:r>
      <w:r w:rsidR="007879BC" w:rsidRPr="007879BC">
        <w:t>§1014</w:t>
      </w:r>
      <w:r w:rsidR="007879BC">
        <w:t>(e)(1), if a</w:t>
      </w:r>
      <w:r w:rsidR="007879BC" w:rsidRPr="007879BC">
        <w:t xml:space="preserve">ppreciated property </w:t>
      </w:r>
      <w:r w:rsidR="007879BC">
        <w:t xml:space="preserve">is </w:t>
      </w:r>
      <w:r w:rsidR="007879BC" w:rsidRPr="007879BC">
        <w:t xml:space="preserve">acquired by </w:t>
      </w:r>
      <w:r w:rsidR="007879BC">
        <w:t>the decedent by gift within one</w:t>
      </w:r>
      <w:r w:rsidR="007879BC" w:rsidRPr="007879BC">
        <w:t xml:space="preserve"> year of death</w:t>
      </w:r>
      <w:r w:rsidR="007879BC">
        <w:t xml:space="preserve"> and </w:t>
      </w:r>
      <w:r w:rsidR="007879BC" w:rsidRPr="007879BC">
        <w:t>passes from the decedent</w:t>
      </w:r>
      <w:r w:rsidR="00991E28">
        <w:t xml:space="preserve"> back</w:t>
      </w:r>
      <w:r w:rsidR="007879BC" w:rsidRPr="007879BC">
        <w:t xml:space="preserve"> to the donor or </w:t>
      </w:r>
      <w:r w:rsidR="00991E28">
        <w:t xml:space="preserve">to </w:t>
      </w:r>
      <w:r w:rsidR="007879BC" w:rsidRPr="007879BC">
        <w:t xml:space="preserve">the </w:t>
      </w:r>
      <w:r w:rsidR="007879BC">
        <w:t xml:space="preserve">donor’s </w:t>
      </w:r>
      <w:r w:rsidR="007879BC" w:rsidRPr="007879BC">
        <w:t>spous</w:t>
      </w:r>
      <w:r w:rsidR="007879BC">
        <w:t>e, “</w:t>
      </w:r>
      <w:r w:rsidR="007879BC" w:rsidRPr="007879BC">
        <w:t xml:space="preserve">the basis of </w:t>
      </w:r>
      <w:r w:rsidR="007879BC">
        <w:t xml:space="preserve">such </w:t>
      </w:r>
      <w:hyperlink r:id="rId20" w:tooltip="property" w:history="1">
        <w:r w:rsidR="007879BC" w:rsidRPr="007879BC">
          <w:t>property</w:t>
        </w:r>
      </w:hyperlink>
      <w:r w:rsidR="007879BC" w:rsidRPr="007879BC">
        <w:t> in the hands of such donor (or spouse) shall be the </w:t>
      </w:r>
      <w:hyperlink r:id="rId21" w:tooltip="adjusted basis" w:history="1">
        <w:r w:rsidR="007879BC" w:rsidRPr="007879BC">
          <w:t>adjusted basis</w:t>
        </w:r>
      </w:hyperlink>
      <w:r w:rsidR="007879BC" w:rsidRPr="007879BC">
        <w:t> of such property in the hands of the decedent immediately before the death of the decede</w:t>
      </w:r>
      <w:r w:rsidR="007879BC">
        <w:t>nt.” Th</w:t>
      </w:r>
      <w:r w:rsidR="00991E28">
        <w:t>is</w:t>
      </w:r>
      <w:r w:rsidR="007879BC">
        <w:t xml:space="preserve"> should not be a concern, because even if Mom’s will puts the property back into the same trust, it will not have passed “</w:t>
      </w:r>
      <w:r w:rsidR="007879BC" w:rsidRPr="007879BC">
        <w:t xml:space="preserve">to the donor or the </w:t>
      </w:r>
      <w:r w:rsidR="007879BC">
        <w:t xml:space="preserve">donor’s </w:t>
      </w:r>
      <w:r w:rsidR="007879BC" w:rsidRPr="007879BC">
        <w:t>spous</w:t>
      </w:r>
      <w:r w:rsidR="007879BC">
        <w:t>e.”</w:t>
      </w:r>
    </w:p>
    <w:p w:rsidR="007879BC" w:rsidRDefault="007879BC" w:rsidP="00E15EBC">
      <w:pPr>
        <w:pStyle w:val="Heading20"/>
        <w:tabs>
          <w:tab w:val="left" w:pos="540"/>
        </w:tabs>
        <w:spacing w:line="240" w:lineRule="exact"/>
        <w:ind w:left="1634" w:hanging="547"/>
      </w:pPr>
    </w:p>
    <w:p w:rsidR="0053176D" w:rsidRDefault="0053176D" w:rsidP="0053176D">
      <w:pPr>
        <w:pStyle w:val="Heading20"/>
        <w:tabs>
          <w:tab w:val="left" w:pos="540"/>
        </w:tabs>
        <w:spacing w:line="240" w:lineRule="exact"/>
        <w:ind w:left="1087" w:hanging="547"/>
      </w:pPr>
      <w:r>
        <w:t>5.</w:t>
      </w:r>
      <w:r>
        <w:tab/>
      </w:r>
      <w:r w:rsidRPr="0053176D">
        <w:rPr>
          <w:b/>
        </w:rPr>
        <w:t xml:space="preserve">If the client </w:t>
      </w:r>
      <w:r>
        <w:rPr>
          <w:b/>
        </w:rPr>
        <w:t>wants to secure a basis step-up</w:t>
      </w:r>
      <w:r w:rsidRPr="0053176D">
        <w:rPr>
          <w:b/>
        </w:rPr>
        <w:t xml:space="preserve"> </w:t>
      </w:r>
      <w:r>
        <w:rPr>
          <w:b/>
        </w:rPr>
        <w:t xml:space="preserve">for his own </w:t>
      </w:r>
      <w:r w:rsidRPr="0053176D">
        <w:rPr>
          <w:b/>
        </w:rPr>
        <w:t>assets</w:t>
      </w:r>
      <w:r>
        <w:rPr>
          <w:b/>
        </w:rPr>
        <w:t>,</w:t>
      </w:r>
      <w:r w:rsidR="005D4F78">
        <w:rPr>
          <w:b/>
        </w:rPr>
        <w:t xml:space="preserve"> give </w:t>
      </w:r>
      <w:r w:rsidRPr="0053176D">
        <w:rPr>
          <w:b/>
        </w:rPr>
        <w:t xml:space="preserve">elderly </w:t>
      </w:r>
      <w:r w:rsidR="005D4F78">
        <w:rPr>
          <w:b/>
        </w:rPr>
        <w:t xml:space="preserve">family member </w:t>
      </w:r>
      <w:r w:rsidRPr="0053176D">
        <w:rPr>
          <w:b/>
        </w:rPr>
        <w:t>a “circumscribed” general power of appointment</w:t>
      </w:r>
      <w:r>
        <w:t xml:space="preserve">. In “The ‘Hook’ of Increased Tax Basis,” </w:t>
      </w:r>
      <w:r w:rsidRPr="00F8632A">
        <w:rPr>
          <w:u w:val="single"/>
        </w:rPr>
        <w:t>Trusts &amp; Estates</w:t>
      </w:r>
      <w:r>
        <w:t xml:space="preserve"> 10 (April 2018), </w:t>
      </w:r>
      <w:proofErr w:type="spellStart"/>
      <w:r>
        <w:t>Turne</w:t>
      </w:r>
      <w:r w:rsidR="007879BC">
        <w:t>y</w:t>
      </w:r>
      <w:proofErr w:type="spellEnd"/>
      <w:r>
        <w:t xml:space="preserve"> Berry (a</w:t>
      </w:r>
      <w:r w:rsidR="00991E28">
        <w:t xml:space="preserve"> Louisville</w:t>
      </w:r>
      <w:r>
        <w:t xml:space="preserve"> ACTEC member) has an article in which he discusses the following plan. (I see Berry’s article as a “think about it” piece—I’m not sure </w:t>
      </w:r>
      <w:r w:rsidR="00B47774">
        <w:t xml:space="preserve">whether </w:t>
      </w:r>
      <w:r w:rsidR="005D4F78">
        <w:t>Berry</w:t>
      </w:r>
      <w:r>
        <w:t xml:space="preserve"> is recommending the plan as distinguished from putting it out for discussion.) Client’s estate is (and is likely to remain) less than the exemption amount, and he has assets that have appreciated substantially in value.</w:t>
      </w:r>
      <w:r w:rsidR="005D4F78">
        <w:t xml:space="preserve"> Client transfers the appreciated assets to an</w:t>
      </w:r>
      <w:r w:rsidR="00991E28">
        <w:t xml:space="preserve"> irrevocable</w:t>
      </w:r>
      <w:r w:rsidR="005D4F78">
        <w:t xml:space="preserve"> inter </w:t>
      </w:r>
      <w:proofErr w:type="spellStart"/>
      <w:r w:rsidR="005D4F78">
        <w:t>vivos</w:t>
      </w:r>
      <w:proofErr w:type="spellEnd"/>
      <w:r w:rsidR="005D4F78">
        <w:t xml:space="preserve"> trust for the benefit of Client’s spouse and descendants (and Client can serve as trustee). This will result in a taxable gift—but in today’s $11.</w:t>
      </w:r>
      <w:r w:rsidR="00F27D09">
        <w:t>18</w:t>
      </w:r>
      <w:r w:rsidR="005D4F78">
        <w:t xml:space="preserve"> million exemption world, who cares? The trust gives an elderly family member who (</w:t>
      </w:r>
      <w:proofErr w:type="spellStart"/>
      <w:r w:rsidR="005D4F78">
        <w:t>i</w:t>
      </w:r>
      <w:proofErr w:type="spellEnd"/>
      <w:r w:rsidR="005D4F78">
        <w:t>) does not have and is not likely to have creditor concerns</w:t>
      </w:r>
      <w:r w:rsidR="00991E28">
        <w:t>,</w:t>
      </w:r>
      <w:r w:rsidR="005D4F78">
        <w:t xml:space="preserve"> and (ii) is likely to die before Client, a “circumscribed” general testamentary power of appointment</w:t>
      </w:r>
      <w:r>
        <w:t xml:space="preserve"> </w:t>
      </w:r>
      <w:r w:rsidR="005D4F78">
        <w:t>exercisable only in favor of</w:t>
      </w:r>
      <w:r w:rsidR="0012173D">
        <w:t xml:space="preserve"> creditors of</w:t>
      </w:r>
      <w:r w:rsidR="005D4F78">
        <w:t xml:space="preserve"> the power-holder’s estate, with the power extending only to assets having a value greater than their income tax </w:t>
      </w:r>
      <w:r w:rsidR="005D4F78">
        <w:lastRenderedPageBreak/>
        <w:t>basis.</w:t>
      </w:r>
      <w:r w:rsidR="00F27D09">
        <w:t xml:space="preserve"> Power-holder dies, and—voila! The trust assets, includible in the </w:t>
      </w:r>
      <w:proofErr w:type="spellStart"/>
      <w:r w:rsidR="0012173D">
        <w:t>powerholder</w:t>
      </w:r>
      <w:proofErr w:type="spellEnd"/>
      <w:r w:rsidR="0012173D">
        <w:t xml:space="preserve"> </w:t>
      </w:r>
      <w:r w:rsidR="00F27D09">
        <w:t xml:space="preserve">decedent’s gross estate, </w:t>
      </w:r>
      <w:r w:rsidR="00991E28">
        <w:t>will be given</w:t>
      </w:r>
      <w:r w:rsidR="00F27D09">
        <w:t xml:space="preserve"> a new basis for income tax purposes.</w:t>
      </w:r>
    </w:p>
    <w:p w:rsidR="005D4F78" w:rsidRDefault="005D4F78" w:rsidP="0053176D">
      <w:pPr>
        <w:pStyle w:val="Heading20"/>
        <w:tabs>
          <w:tab w:val="left" w:pos="540"/>
        </w:tabs>
        <w:spacing w:line="240" w:lineRule="exact"/>
        <w:ind w:left="1087" w:hanging="547"/>
      </w:pPr>
    </w:p>
    <w:p w:rsidR="005D4F78" w:rsidRDefault="005D4F78" w:rsidP="00F27D09">
      <w:pPr>
        <w:pStyle w:val="Heading20"/>
        <w:tabs>
          <w:tab w:val="left" w:pos="540"/>
        </w:tabs>
        <w:spacing w:line="240" w:lineRule="exact"/>
        <w:ind w:left="1634" w:hanging="547"/>
      </w:pPr>
      <w:r>
        <w:t>a.</w:t>
      </w:r>
      <w:r>
        <w:tab/>
        <w:t>“This transaction isn’t for everyone but, then again, can we say that a</w:t>
      </w:r>
      <w:r w:rsidR="00F27D09">
        <w:t>ny estate-planning</w:t>
      </w:r>
      <w:r>
        <w:t xml:space="preserve"> idea is right for absolutely everyone? Of course not!”</w:t>
      </w:r>
    </w:p>
    <w:p w:rsidR="00AC05FB" w:rsidRDefault="00C9286B" w:rsidP="00AC05FB">
      <w:pPr>
        <w:pStyle w:val="Heading1"/>
        <w:keepNext w:val="0"/>
        <w:tabs>
          <w:tab w:val="left" w:pos="540"/>
        </w:tabs>
        <w:spacing w:line="240" w:lineRule="exact"/>
        <w:jc w:val="center"/>
        <w:rPr>
          <w:rFonts w:ascii="Times New Roman" w:hAnsi="Times New Roman" w:cs="Times New Roman"/>
          <w:color w:val="000000" w:themeColor="text1"/>
        </w:rPr>
      </w:pPr>
      <w:r>
        <w:rPr>
          <w:rFonts w:ascii="Times New Roman" w:hAnsi="Times New Roman" w:cs="Times New Roman"/>
          <w:color w:val="000000" w:themeColor="text1"/>
        </w:rPr>
        <w:t>I</w:t>
      </w:r>
      <w:r w:rsidR="00AC05FB">
        <w:rPr>
          <w:rFonts w:ascii="Times New Roman" w:hAnsi="Times New Roman" w:cs="Times New Roman"/>
          <w:color w:val="000000" w:themeColor="text1"/>
        </w:rPr>
        <w:t>V</w:t>
      </w:r>
      <w:proofErr w:type="gramStart"/>
      <w:r w:rsidR="00AC05FB" w:rsidRPr="00790866">
        <w:rPr>
          <w:rFonts w:ascii="Times New Roman" w:hAnsi="Times New Roman" w:cs="Times New Roman"/>
          <w:color w:val="000000" w:themeColor="text1"/>
        </w:rPr>
        <w:t>.  Section</w:t>
      </w:r>
      <w:r w:rsidR="00AC05FB">
        <w:rPr>
          <w:rFonts w:ascii="Times New Roman" w:hAnsi="Times New Roman" w:cs="Times New Roman"/>
          <w:color w:val="000000" w:themeColor="text1"/>
        </w:rPr>
        <w:t>s</w:t>
      </w:r>
      <w:proofErr w:type="gramEnd"/>
      <w:r w:rsidR="00AC05FB" w:rsidRPr="00790866">
        <w:rPr>
          <w:rFonts w:ascii="Times New Roman" w:hAnsi="Times New Roman" w:cs="Times New Roman"/>
          <w:color w:val="000000" w:themeColor="text1"/>
        </w:rPr>
        <w:t xml:space="preserve"> </w:t>
      </w:r>
      <w:r w:rsidR="00AC05FB">
        <w:rPr>
          <w:rFonts w:ascii="Times New Roman" w:hAnsi="Times New Roman" w:cs="Times New Roman"/>
          <w:color w:val="000000" w:themeColor="text1"/>
        </w:rPr>
        <w:t>2036 and 2038</w:t>
      </w:r>
      <w:r w:rsidR="00AC05FB" w:rsidRPr="00790866">
        <w:rPr>
          <w:rFonts w:ascii="Times New Roman" w:hAnsi="Times New Roman" w:cs="Times New Roman"/>
          <w:color w:val="000000" w:themeColor="text1"/>
        </w:rPr>
        <w:t>—</w:t>
      </w:r>
      <w:r w:rsidR="00AC05FB">
        <w:rPr>
          <w:rFonts w:ascii="Times New Roman" w:hAnsi="Times New Roman" w:cs="Times New Roman"/>
          <w:color w:val="000000" w:themeColor="text1"/>
        </w:rPr>
        <w:t>Retained Interests or Powers</w:t>
      </w:r>
    </w:p>
    <w:p w:rsidR="00AC05FB" w:rsidRDefault="00AC05FB" w:rsidP="00AC05FB">
      <w:pPr>
        <w:pStyle w:val="Heading20"/>
        <w:ind w:left="540" w:hanging="540"/>
        <w:rPr>
          <w:b/>
        </w:rPr>
      </w:pPr>
    </w:p>
    <w:p w:rsidR="00AC05FB" w:rsidRDefault="00AC05FB" w:rsidP="00AC05FB">
      <w:pPr>
        <w:pStyle w:val="Heading20"/>
        <w:ind w:left="540" w:hanging="540"/>
      </w:pPr>
      <w:r>
        <w:rPr>
          <w:b/>
        </w:rPr>
        <w:t>A</w:t>
      </w:r>
      <w:r w:rsidRPr="00871BB0">
        <w:rPr>
          <w:b/>
        </w:rPr>
        <w:t>.</w:t>
      </w:r>
      <w:r w:rsidRPr="00871BB0">
        <w:rPr>
          <w:b/>
        </w:rPr>
        <w:tab/>
      </w:r>
      <w:r>
        <w:rPr>
          <w:b/>
        </w:rPr>
        <w:t xml:space="preserve">FLP assets includible in gross estate under </w:t>
      </w:r>
      <w:r w:rsidRPr="005046E8">
        <w:rPr>
          <w:b/>
        </w:rPr>
        <w:t>§2</w:t>
      </w:r>
      <w:r>
        <w:rPr>
          <w:b/>
        </w:rPr>
        <w:t>036(a</w:t>
      </w:r>
      <w:proofErr w:type="gramStart"/>
      <w:r>
        <w:rPr>
          <w:b/>
        </w:rPr>
        <w:t>)(</w:t>
      </w:r>
      <w:proofErr w:type="gramEnd"/>
      <w:r>
        <w:rPr>
          <w:b/>
        </w:rPr>
        <w:t>2) even though decedent grantor held only limited partnership interests</w:t>
      </w:r>
      <w:r>
        <w:t xml:space="preserve">. It has often been said that “hard cases make bad law.” Of </w:t>
      </w:r>
      <w:r>
        <w:rPr>
          <w:i/>
        </w:rPr>
        <w:t>Estate of Powell v. Commissione</w:t>
      </w:r>
      <w:r w:rsidRPr="00D84C84">
        <w:rPr>
          <w:i/>
        </w:rPr>
        <w:t>r</w:t>
      </w:r>
      <w:r w:rsidRPr="00791DBD">
        <w:t xml:space="preserve">, </w:t>
      </w:r>
      <w:r>
        <w:t xml:space="preserve">148 T.C. No. 18 (2017), it can be said that </w:t>
      </w:r>
      <w:r w:rsidRPr="00D825D7">
        <w:rPr>
          <w:i/>
        </w:rPr>
        <w:t>bad</w:t>
      </w:r>
      <w:r>
        <w:t xml:space="preserve"> cases (here, involving what the concurring opinion called “aggressive deathbed tax planning”) can make </w:t>
      </w:r>
      <w:r w:rsidRPr="00D825D7">
        <w:rPr>
          <w:i/>
        </w:rPr>
        <w:t xml:space="preserve">really </w:t>
      </w:r>
      <w:r>
        <w:t>bad law. Powell’s son, acting under a power of attorney, contributed $10 million of cash and marketable securities to a family limited partnership, in return for a 99% LP interest. Her two sons contributed unsecured promissory notes in return for the 1% general partner interest. On the same day, the son, acting as agent under the power of attorney, transferred Powell’s 99% LP interest to a charitable lead annuity trust under which an annuity was paid to charity for Powell’s life with the remainder passing to the two sons. The remainder interest was valued by assuming a 25% discount for lack of control and lack of marketability of the 99% LP interest. (Slight problem—among many: the durable power of attorney only authorized gifts with annual exclusions.) Powell died seven days later.</w:t>
      </w:r>
    </w:p>
    <w:p w:rsidR="00AC05FB" w:rsidRDefault="00AC05FB" w:rsidP="00AC05FB">
      <w:pPr>
        <w:pStyle w:val="Heading20"/>
        <w:ind w:left="540" w:hanging="540"/>
      </w:pPr>
    </w:p>
    <w:p w:rsidR="00AC05FB" w:rsidRDefault="00AC05FB" w:rsidP="00AC05FB">
      <w:pPr>
        <w:tabs>
          <w:tab w:val="left" w:pos="540"/>
          <w:tab w:val="left" w:pos="1080"/>
          <w:tab w:val="left" w:pos="1620"/>
        </w:tabs>
        <w:spacing w:line="240" w:lineRule="atLeast"/>
        <w:ind w:left="1087" w:hanging="547"/>
        <w:rPr>
          <w:sz w:val="22"/>
          <w:szCs w:val="22"/>
        </w:rPr>
      </w:pPr>
      <w:r>
        <w:rPr>
          <w:sz w:val="22"/>
          <w:szCs w:val="22"/>
        </w:rPr>
        <w:t>1.</w:t>
      </w:r>
      <w:r>
        <w:rPr>
          <w:sz w:val="22"/>
          <w:szCs w:val="22"/>
        </w:rPr>
        <w:tab/>
        <w:t>Bad facts? Excuse me! The partnership entity was: funded only by assets of the soon-to-be decedent … with only cash and marketable securities … seven days before death (although we are told that Powell died unexpectedly) … a transfer to a CLAT of a charitable annuity for the life of the soon-to-die grantor, and a discounted remainder interest to pass to the two sons … with all of this having been accomplished under a power of attorney, meaning that the son was essentially negotiating with himself. Las Vegas wouldn’t even make book on whether the taxpayer had a chance of winning.</w:t>
      </w:r>
    </w:p>
    <w:p w:rsidR="00AC05FB" w:rsidRDefault="00AC05FB" w:rsidP="00AC05FB">
      <w:pPr>
        <w:tabs>
          <w:tab w:val="left" w:pos="540"/>
          <w:tab w:val="left" w:pos="1080"/>
          <w:tab w:val="left" w:pos="1620"/>
        </w:tabs>
        <w:spacing w:line="240" w:lineRule="atLeast"/>
        <w:ind w:left="1087" w:hanging="547"/>
        <w:rPr>
          <w:sz w:val="22"/>
          <w:szCs w:val="22"/>
        </w:rPr>
      </w:pPr>
    </w:p>
    <w:p w:rsidR="00AC05FB" w:rsidRDefault="00AC05FB" w:rsidP="00AC05FB">
      <w:pPr>
        <w:tabs>
          <w:tab w:val="left" w:pos="540"/>
          <w:tab w:val="left" w:pos="1080"/>
          <w:tab w:val="left" w:pos="1620"/>
        </w:tabs>
        <w:spacing w:line="240" w:lineRule="atLeast"/>
        <w:ind w:left="1627" w:hanging="547"/>
        <w:rPr>
          <w:sz w:val="22"/>
          <w:szCs w:val="22"/>
        </w:rPr>
      </w:pPr>
      <w:r>
        <w:rPr>
          <w:sz w:val="22"/>
          <w:szCs w:val="22"/>
        </w:rPr>
        <w:t>a.</w:t>
      </w:r>
      <w:r>
        <w:rPr>
          <w:sz w:val="22"/>
          <w:szCs w:val="22"/>
        </w:rPr>
        <w:tab/>
        <w:t xml:space="preserve">And the estate’s argument before the Tax Court was—how to put it as </w:t>
      </w:r>
      <w:proofErr w:type="spellStart"/>
      <w:r>
        <w:rPr>
          <w:sz w:val="22"/>
          <w:szCs w:val="22"/>
        </w:rPr>
        <w:t>genteely</w:t>
      </w:r>
      <w:proofErr w:type="spellEnd"/>
      <w:r>
        <w:rPr>
          <w:sz w:val="22"/>
          <w:szCs w:val="22"/>
        </w:rPr>
        <w:t xml:space="preserve"> as possible—of the same … quality.</w:t>
      </w:r>
    </w:p>
    <w:p w:rsidR="00AC05FB" w:rsidRDefault="00AC05FB" w:rsidP="00AC05FB">
      <w:pPr>
        <w:tabs>
          <w:tab w:val="left" w:pos="540"/>
          <w:tab w:val="left" w:pos="1080"/>
          <w:tab w:val="left" w:pos="1620"/>
        </w:tabs>
        <w:spacing w:line="240" w:lineRule="atLeast"/>
        <w:ind w:left="1627" w:hanging="547"/>
        <w:rPr>
          <w:sz w:val="22"/>
          <w:szCs w:val="22"/>
        </w:rPr>
      </w:pPr>
    </w:p>
    <w:p w:rsidR="00AC05FB" w:rsidRDefault="00AC05FB" w:rsidP="00AC05FB">
      <w:pPr>
        <w:tabs>
          <w:tab w:val="left" w:pos="540"/>
          <w:tab w:val="left" w:pos="1080"/>
          <w:tab w:val="left" w:pos="1620"/>
        </w:tabs>
        <w:spacing w:line="240" w:lineRule="atLeast"/>
        <w:ind w:left="1087" w:hanging="547"/>
        <w:rPr>
          <w:sz w:val="22"/>
          <w:szCs w:val="22"/>
        </w:rPr>
      </w:pPr>
      <w:r>
        <w:rPr>
          <w:snapToGrid w:val="0"/>
          <w:sz w:val="22"/>
          <w:szCs w:val="22"/>
        </w:rPr>
        <w:t>2.</w:t>
      </w:r>
      <w:r w:rsidRPr="00A074D3">
        <w:rPr>
          <w:snapToGrid w:val="0"/>
          <w:sz w:val="22"/>
          <w:szCs w:val="22"/>
        </w:rPr>
        <w:tab/>
      </w:r>
      <w:r>
        <w:rPr>
          <w:snapToGrid w:val="0"/>
          <w:sz w:val="22"/>
          <w:szCs w:val="22"/>
        </w:rPr>
        <w:t>The Service assessed a deficiency on the ground that the $10 million of assets contributed to the FLP were includible in Powell’s gross estate (without discount) under one of four theories—actually, all four theories: (</w:t>
      </w:r>
      <w:proofErr w:type="spellStart"/>
      <w:r>
        <w:rPr>
          <w:snapToGrid w:val="0"/>
          <w:sz w:val="22"/>
          <w:szCs w:val="22"/>
        </w:rPr>
        <w:t>i</w:t>
      </w:r>
      <w:proofErr w:type="spellEnd"/>
      <w:r>
        <w:rPr>
          <w:snapToGrid w:val="0"/>
          <w:sz w:val="22"/>
          <w:szCs w:val="22"/>
        </w:rPr>
        <w:t xml:space="preserve">) </w:t>
      </w:r>
      <w:r w:rsidRPr="00440571">
        <w:rPr>
          <w:sz w:val="22"/>
          <w:szCs w:val="22"/>
        </w:rPr>
        <w:t>§2036(a)(</w:t>
      </w:r>
      <w:r>
        <w:rPr>
          <w:sz w:val="22"/>
          <w:szCs w:val="22"/>
        </w:rPr>
        <w:t>1</w:t>
      </w:r>
      <w:r w:rsidRPr="00440571">
        <w:rPr>
          <w:sz w:val="22"/>
          <w:szCs w:val="22"/>
        </w:rPr>
        <w:t>)</w:t>
      </w:r>
      <w:r>
        <w:rPr>
          <w:sz w:val="22"/>
          <w:szCs w:val="22"/>
        </w:rPr>
        <w:t xml:space="preserve">—retained possession and enjoyment or right to income, (ii) </w:t>
      </w:r>
      <w:r w:rsidRPr="00440571">
        <w:rPr>
          <w:sz w:val="22"/>
          <w:szCs w:val="22"/>
        </w:rPr>
        <w:t>§2036(a)(</w:t>
      </w:r>
      <w:r>
        <w:rPr>
          <w:sz w:val="22"/>
          <w:szCs w:val="22"/>
        </w:rPr>
        <w:t>2</w:t>
      </w:r>
      <w:r w:rsidRPr="00440571">
        <w:rPr>
          <w:sz w:val="22"/>
          <w:szCs w:val="22"/>
        </w:rPr>
        <w:t>)</w:t>
      </w:r>
      <w:r>
        <w:rPr>
          <w:sz w:val="22"/>
          <w:szCs w:val="22"/>
        </w:rPr>
        <w:t xml:space="preserve">—right in conjunction with any other person to designate who could possess and enjoy the property or its income, (iii) </w:t>
      </w:r>
      <w:r w:rsidRPr="00440571">
        <w:rPr>
          <w:sz w:val="22"/>
          <w:szCs w:val="22"/>
        </w:rPr>
        <w:t>§203</w:t>
      </w:r>
      <w:r>
        <w:rPr>
          <w:sz w:val="22"/>
          <w:szCs w:val="22"/>
        </w:rPr>
        <w:t xml:space="preserve">8—power to revoke, alter, amend or terminate the transfer, and (iv) </w:t>
      </w:r>
      <w:r w:rsidRPr="00440571">
        <w:rPr>
          <w:sz w:val="22"/>
          <w:szCs w:val="22"/>
        </w:rPr>
        <w:t>§203</w:t>
      </w:r>
      <w:r>
        <w:rPr>
          <w:sz w:val="22"/>
          <w:szCs w:val="22"/>
        </w:rPr>
        <w:t>5</w:t>
      </w:r>
      <w:r w:rsidRPr="00440571">
        <w:rPr>
          <w:sz w:val="22"/>
          <w:szCs w:val="22"/>
        </w:rPr>
        <w:t>(a)</w:t>
      </w:r>
      <w:r>
        <w:rPr>
          <w:sz w:val="22"/>
          <w:szCs w:val="22"/>
        </w:rPr>
        <w:t xml:space="preserve">—transfer of property within three years of death that otherwise would have been included in the gross estate under </w:t>
      </w:r>
      <w:r w:rsidRPr="00440571">
        <w:rPr>
          <w:sz w:val="22"/>
          <w:szCs w:val="22"/>
        </w:rPr>
        <w:t>§§</w:t>
      </w:r>
      <w:r>
        <w:rPr>
          <w:sz w:val="22"/>
          <w:szCs w:val="22"/>
        </w:rPr>
        <w:t>2036-</w:t>
      </w:r>
      <w:r w:rsidRPr="00440571">
        <w:rPr>
          <w:sz w:val="22"/>
          <w:szCs w:val="22"/>
        </w:rPr>
        <w:t>203</w:t>
      </w:r>
      <w:r>
        <w:rPr>
          <w:sz w:val="22"/>
          <w:szCs w:val="22"/>
        </w:rPr>
        <w:t>8 if the transfer had not been made.</w:t>
      </w:r>
    </w:p>
    <w:p w:rsidR="00AC05FB" w:rsidRDefault="00AC05FB" w:rsidP="00AC05FB">
      <w:pPr>
        <w:tabs>
          <w:tab w:val="left" w:pos="540"/>
          <w:tab w:val="left" w:pos="1080"/>
          <w:tab w:val="left" w:pos="1620"/>
        </w:tabs>
        <w:spacing w:line="240" w:lineRule="atLeast"/>
        <w:ind w:left="1087" w:hanging="547"/>
        <w:rPr>
          <w:snapToGrid w:val="0"/>
          <w:sz w:val="22"/>
          <w:szCs w:val="22"/>
        </w:rPr>
      </w:pPr>
    </w:p>
    <w:p w:rsidR="00AC05FB" w:rsidRDefault="00AC05FB" w:rsidP="00AC05FB">
      <w:pPr>
        <w:tabs>
          <w:tab w:val="left" w:pos="540"/>
          <w:tab w:val="left" w:pos="1080"/>
          <w:tab w:val="left" w:pos="1620"/>
        </w:tabs>
        <w:spacing w:line="240" w:lineRule="atLeast"/>
        <w:ind w:left="1627" w:hanging="547"/>
        <w:rPr>
          <w:sz w:val="22"/>
          <w:szCs w:val="22"/>
        </w:rPr>
      </w:pPr>
      <w:r>
        <w:rPr>
          <w:snapToGrid w:val="0"/>
          <w:sz w:val="22"/>
          <w:szCs w:val="22"/>
        </w:rPr>
        <w:t>a.</w:t>
      </w:r>
      <w:r>
        <w:rPr>
          <w:snapToGrid w:val="0"/>
          <w:sz w:val="22"/>
          <w:szCs w:val="22"/>
        </w:rPr>
        <w:tab/>
        <w:t xml:space="preserve">The estate did not contest the application of </w:t>
      </w:r>
      <w:r w:rsidRPr="00440571">
        <w:rPr>
          <w:sz w:val="22"/>
          <w:szCs w:val="22"/>
        </w:rPr>
        <w:t>§2036(a</w:t>
      </w:r>
      <w:proofErr w:type="gramStart"/>
      <w:r w:rsidRPr="00440571">
        <w:rPr>
          <w:sz w:val="22"/>
          <w:szCs w:val="22"/>
        </w:rPr>
        <w:t>)(</w:t>
      </w:r>
      <w:proofErr w:type="gramEnd"/>
      <w:r>
        <w:rPr>
          <w:sz w:val="22"/>
          <w:szCs w:val="22"/>
        </w:rPr>
        <w:t>2</w:t>
      </w:r>
      <w:r w:rsidRPr="00440571">
        <w:rPr>
          <w:sz w:val="22"/>
          <w:szCs w:val="22"/>
        </w:rPr>
        <w:t>)</w:t>
      </w:r>
      <w:r>
        <w:rPr>
          <w:sz w:val="22"/>
          <w:szCs w:val="22"/>
        </w:rPr>
        <w:t xml:space="preserve"> (!!), and did not raise the exception to </w:t>
      </w:r>
      <w:r w:rsidRPr="00440571">
        <w:rPr>
          <w:sz w:val="22"/>
          <w:szCs w:val="22"/>
        </w:rPr>
        <w:t>§2036</w:t>
      </w:r>
      <w:r>
        <w:rPr>
          <w:sz w:val="22"/>
          <w:szCs w:val="22"/>
        </w:rPr>
        <w:t xml:space="preserve"> for a bona fide sale for full consideration (!!). The only argument made by the estate was that </w:t>
      </w:r>
      <w:r w:rsidRPr="00440571">
        <w:rPr>
          <w:sz w:val="22"/>
          <w:szCs w:val="22"/>
        </w:rPr>
        <w:t>§§2036</w:t>
      </w:r>
      <w:r>
        <w:rPr>
          <w:sz w:val="22"/>
          <w:szCs w:val="22"/>
        </w:rPr>
        <w:t xml:space="preserve"> and 2038 could not apply because the decedent no longer owned the LP interest at her death—despite the fact that the LP interest had been transferred within three years of death, bringing </w:t>
      </w:r>
      <w:r w:rsidRPr="00440571">
        <w:rPr>
          <w:sz w:val="22"/>
          <w:szCs w:val="22"/>
        </w:rPr>
        <w:t>§203</w:t>
      </w:r>
      <w:r>
        <w:rPr>
          <w:sz w:val="22"/>
          <w:szCs w:val="22"/>
        </w:rPr>
        <w:t>5(a) into play.</w:t>
      </w:r>
    </w:p>
    <w:p w:rsidR="00AC05FB" w:rsidRDefault="00AC05FB" w:rsidP="00AC05FB">
      <w:pPr>
        <w:tabs>
          <w:tab w:val="left" w:pos="540"/>
          <w:tab w:val="left" w:pos="1080"/>
          <w:tab w:val="left" w:pos="1620"/>
        </w:tabs>
        <w:spacing w:line="240" w:lineRule="atLeast"/>
        <w:ind w:left="1627" w:hanging="547"/>
        <w:rPr>
          <w:sz w:val="22"/>
          <w:szCs w:val="22"/>
        </w:rPr>
      </w:pPr>
    </w:p>
    <w:p w:rsidR="00AC05FB" w:rsidRDefault="00AC05FB" w:rsidP="00AC05FB">
      <w:pPr>
        <w:tabs>
          <w:tab w:val="left" w:pos="540"/>
          <w:tab w:val="left" w:pos="1080"/>
          <w:tab w:val="left" w:pos="1620"/>
        </w:tabs>
        <w:spacing w:line="240" w:lineRule="atLeast"/>
        <w:ind w:left="1087" w:hanging="547"/>
        <w:rPr>
          <w:sz w:val="22"/>
          <w:szCs w:val="22"/>
        </w:rPr>
      </w:pPr>
      <w:r>
        <w:rPr>
          <w:sz w:val="22"/>
          <w:szCs w:val="22"/>
        </w:rPr>
        <w:t>3.</w:t>
      </w:r>
      <w:r>
        <w:rPr>
          <w:sz w:val="22"/>
          <w:szCs w:val="22"/>
        </w:rPr>
        <w:tab/>
        <w:t xml:space="preserve">This was a “reviewed” Tax Court decision, which means that it was considered by the full Tax Court. The majority and concurring opinions both agreed that </w:t>
      </w:r>
      <w:r w:rsidRPr="00440571">
        <w:rPr>
          <w:sz w:val="22"/>
          <w:szCs w:val="22"/>
        </w:rPr>
        <w:t>§2036(a</w:t>
      </w:r>
      <w:proofErr w:type="gramStart"/>
      <w:r w:rsidRPr="00440571">
        <w:rPr>
          <w:sz w:val="22"/>
          <w:szCs w:val="22"/>
        </w:rPr>
        <w:t>)(</w:t>
      </w:r>
      <w:proofErr w:type="gramEnd"/>
      <w:r>
        <w:rPr>
          <w:sz w:val="22"/>
          <w:szCs w:val="22"/>
        </w:rPr>
        <w:t>2</w:t>
      </w:r>
      <w:r w:rsidRPr="00440571">
        <w:rPr>
          <w:sz w:val="22"/>
          <w:szCs w:val="22"/>
        </w:rPr>
        <w:t>)</w:t>
      </w:r>
      <w:r>
        <w:rPr>
          <w:sz w:val="22"/>
          <w:szCs w:val="22"/>
        </w:rPr>
        <w:t xml:space="preserve"> applied. The majority opinion (Judge Halpern, joined by seven judges) reasoned that Powell, in conjunction </w:t>
      </w:r>
      <w:r>
        <w:rPr>
          <w:sz w:val="22"/>
          <w:szCs w:val="22"/>
        </w:rPr>
        <w:lastRenderedPageBreak/>
        <w:t xml:space="preserve">with the general partners, could dissolve the partnership; and that Powell, through her son as general partner and as her agent, could control the amount and timing of the distributions. Six judges joined in Judge </w:t>
      </w:r>
      <w:proofErr w:type="spellStart"/>
      <w:r>
        <w:rPr>
          <w:sz w:val="22"/>
          <w:szCs w:val="22"/>
        </w:rPr>
        <w:t>Lauber’s</w:t>
      </w:r>
      <w:proofErr w:type="spellEnd"/>
      <w:r>
        <w:rPr>
          <w:sz w:val="22"/>
          <w:szCs w:val="22"/>
        </w:rPr>
        <w:t xml:space="preserve"> opinion that </w:t>
      </w:r>
      <w:r w:rsidRPr="00440571">
        <w:rPr>
          <w:sz w:val="22"/>
          <w:szCs w:val="22"/>
        </w:rPr>
        <w:t>§2036(a</w:t>
      </w:r>
      <w:proofErr w:type="gramStart"/>
      <w:r w:rsidRPr="00440571">
        <w:rPr>
          <w:sz w:val="22"/>
          <w:szCs w:val="22"/>
        </w:rPr>
        <w:t>)(</w:t>
      </w:r>
      <w:proofErr w:type="gramEnd"/>
      <w:r>
        <w:rPr>
          <w:sz w:val="22"/>
          <w:szCs w:val="22"/>
        </w:rPr>
        <w:t>2</w:t>
      </w:r>
      <w:r w:rsidRPr="00440571">
        <w:rPr>
          <w:sz w:val="22"/>
          <w:szCs w:val="22"/>
        </w:rPr>
        <w:t>)</w:t>
      </w:r>
      <w:r>
        <w:rPr>
          <w:sz w:val="22"/>
          <w:szCs w:val="22"/>
        </w:rPr>
        <w:t xml:space="preserve"> applied (without giving any discussion of the basis for its application), but rejected the majority opinion’s discussion of a “double inclusion” issue. This means that fifteen out of seventeen judges saw merit in the application of </w:t>
      </w:r>
      <w:r w:rsidRPr="00440571">
        <w:rPr>
          <w:sz w:val="22"/>
          <w:szCs w:val="22"/>
        </w:rPr>
        <w:t>§2036(a</w:t>
      </w:r>
      <w:proofErr w:type="gramStart"/>
      <w:r w:rsidRPr="00440571">
        <w:rPr>
          <w:sz w:val="22"/>
          <w:szCs w:val="22"/>
        </w:rPr>
        <w:t>)(</w:t>
      </w:r>
      <w:proofErr w:type="gramEnd"/>
      <w:r>
        <w:rPr>
          <w:sz w:val="22"/>
          <w:szCs w:val="22"/>
        </w:rPr>
        <w:t>2</w:t>
      </w:r>
      <w:r w:rsidRPr="00440571">
        <w:rPr>
          <w:sz w:val="22"/>
          <w:szCs w:val="22"/>
        </w:rPr>
        <w:t>)</w:t>
      </w:r>
      <w:r>
        <w:rPr>
          <w:sz w:val="22"/>
          <w:szCs w:val="22"/>
        </w:rPr>
        <w:t xml:space="preserve"> to an FLP case—the first case to apply </w:t>
      </w:r>
      <w:r w:rsidRPr="00440571">
        <w:rPr>
          <w:sz w:val="22"/>
          <w:szCs w:val="22"/>
        </w:rPr>
        <w:t>§2036(a)(</w:t>
      </w:r>
      <w:r>
        <w:rPr>
          <w:sz w:val="22"/>
          <w:szCs w:val="22"/>
        </w:rPr>
        <w:t>2</w:t>
      </w:r>
      <w:r w:rsidRPr="00440571">
        <w:rPr>
          <w:sz w:val="22"/>
          <w:szCs w:val="22"/>
        </w:rPr>
        <w:t>)</w:t>
      </w:r>
      <w:r>
        <w:rPr>
          <w:sz w:val="22"/>
          <w:szCs w:val="22"/>
        </w:rPr>
        <w:t xml:space="preserve"> where the decedent owned only a limited partnership interest.</w:t>
      </w:r>
    </w:p>
    <w:p w:rsidR="00AC05FB" w:rsidRDefault="00AC05FB" w:rsidP="00AC05FB">
      <w:pPr>
        <w:tabs>
          <w:tab w:val="left" w:pos="540"/>
          <w:tab w:val="left" w:pos="1080"/>
          <w:tab w:val="left" w:pos="1620"/>
        </w:tabs>
        <w:spacing w:line="240" w:lineRule="atLeast"/>
        <w:ind w:left="1267" w:hanging="547"/>
        <w:rPr>
          <w:sz w:val="22"/>
          <w:szCs w:val="22"/>
        </w:rPr>
      </w:pPr>
    </w:p>
    <w:p w:rsidR="00AC05FB" w:rsidRDefault="00AC05FB" w:rsidP="00AC05FB">
      <w:pPr>
        <w:tabs>
          <w:tab w:val="left" w:pos="540"/>
          <w:tab w:val="left" w:pos="1080"/>
          <w:tab w:val="left" w:pos="1620"/>
        </w:tabs>
        <w:spacing w:line="240" w:lineRule="atLeast"/>
        <w:ind w:left="1627" w:hanging="547"/>
        <w:rPr>
          <w:sz w:val="22"/>
          <w:szCs w:val="22"/>
        </w:rPr>
      </w:pPr>
      <w:r>
        <w:rPr>
          <w:sz w:val="22"/>
          <w:szCs w:val="22"/>
        </w:rPr>
        <w:t>a.</w:t>
      </w:r>
      <w:r>
        <w:rPr>
          <w:sz w:val="22"/>
          <w:szCs w:val="22"/>
        </w:rPr>
        <w:tab/>
        <w:t xml:space="preserve">It would be nice, and comforting, if the decision could be dismissed on the ground that this was essentially a sham partnership whose sole purpose was to produce valuation discounts, and that the taxpayer didn’t deserve to win. Bad facts, yes; but still ... fifteen out of seventeen judge found merit in apply </w:t>
      </w:r>
      <w:r w:rsidRPr="00440571">
        <w:rPr>
          <w:sz w:val="22"/>
          <w:szCs w:val="22"/>
        </w:rPr>
        <w:t>§2036(a</w:t>
      </w:r>
      <w:proofErr w:type="gramStart"/>
      <w:r w:rsidRPr="00440571">
        <w:rPr>
          <w:sz w:val="22"/>
          <w:szCs w:val="22"/>
        </w:rPr>
        <w:t>)(</w:t>
      </w:r>
      <w:proofErr w:type="gramEnd"/>
      <w:r>
        <w:rPr>
          <w:sz w:val="22"/>
          <w:szCs w:val="22"/>
        </w:rPr>
        <w:t>2</w:t>
      </w:r>
      <w:r w:rsidRPr="00440571">
        <w:rPr>
          <w:sz w:val="22"/>
          <w:szCs w:val="22"/>
        </w:rPr>
        <w:t>)</w:t>
      </w:r>
      <w:r>
        <w:rPr>
          <w:sz w:val="22"/>
          <w:szCs w:val="22"/>
        </w:rPr>
        <w:t xml:space="preserve"> where the decedent owned only a limited partnership interest? The case is appealable to the Ninth Circuit.</w:t>
      </w:r>
    </w:p>
    <w:p w:rsidR="00754CB2" w:rsidRDefault="00754CB2" w:rsidP="00754CB2">
      <w:pPr>
        <w:pStyle w:val="Heading1"/>
        <w:keepNext w:val="0"/>
        <w:tabs>
          <w:tab w:val="left" w:pos="540"/>
        </w:tabs>
        <w:spacing w:line="240" w:lineRule="exact"/>
        <w:jc w:val="center"/>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t>V</w:t>
      </w:r>
      <w:r w:rsidRPr="00790866">
        <w:rPr>
          <w:rFonts w:ascii="Times New Roman" w:hAnsi="Times New Roman" w:cs="Times New Roman"/>
          <w:color w:val="000000" w:themeColor="text1"/>
        </w:rPr>
        <w:t>.  Section</w:t>
      </w:r>
      <w:r>
        <w:rPr>
          <w:rFonts w:ascii="Times New Roman" w:hAnsi="Times New Roman" w:cs="Times New Roman"/>
          <w:color w:val="000000" w:themeColor="text1"/>
        </w:rPr>
        <w:t xml:space="preserve"> 2041</w:t>
      </w:r>
      <w:r w:rsidRPr="00790866">
        <w:rPr>
          <w:rFonts w:ascii="Times New Roman" w:hAnsi="Times New Roman" w:cs="Times New Roman"/>
          <w:color w:val="000000" w:themeColor="text1"/>
        </w:rPr>
        <w:t>—</w:t>
      </w:r>
      <w:r>
        <w:rPr>
          <w:rFonts w:ascii="Times New Roman" w:hAnsi="Times New Roman" w:cs="Times New Roman"/>
          <w:color w:val="000000" w:themeColor="text1"/>
        </w:rPr>
        <w:t>Powers of Appointment</w:t>
      </w:r>
    </w:p>
    <w:p w:rsidR="00754CB2" w:rsidRDefault="00754CB2" w:rsidP="00754CB2">
      <w:pPr>
        <w:pStyle w:val="Heading20"/>
        <w:ind w:left="540" w:hanging="540"/>
        <w:rPr>
          <w:b/>
        </w:rPr>
      </w:pPr>
    </w:p>
    <w:p w:rsidR="00643EE7" w:rsidRDefault="00643EE7" w:rsidP="00643EE7">
      <w:pPr>
        <w:pStyle w:val="Heading20"/>
        <w:ind w:left="540" w:hanging="540"/>
      </w:pPr>
      <w:r>
        <w:rPr>
          <w:b/>
        </w:rPr>
        <w:t>A.</w:t>
      </w:r>
      <w:r>
        <w:rPr>
          <w:b/>
        </w:rPr>
        <w:tab/>
      </w:r>
      <w:r w:rsidR="00754CB2">
        <w:rPr>
          <w:b/>
        </w:rPr>
        <w:t xml:space="preserve">Why HEMS ascertainable standard powers should continue to be employed. </w:t>
      </w:r>
      <w:r w:rsidR="00754CB2" w:rsidRPr="00643EE7">
        <w:t>A beneficiary’s power to invade trust principal is not a general power of appointment if the power is limited by an ascertainable stander relating to health, education, maintenance or support. For years, HEMS invasion powers have been employed in drafting trusts, to insure that beneficiaries have access to trust principal without causing the property to be included in the</w:t>
      </w:r>
      <w:r>
        <w:t xml:space="preserve"> beneficiaries’</w:t>
      </w:r>
      <w:r w:rsidR="00754CB2" w:rsidRPr="00643EE7">
        <w:t xml:space="preserve"> gross </w:t>
      </w:r>
      <w:r>
        <w:t>estate. With an $11.</w:t>
      </w:r>
      <w:r w:rsidR="00F27D09">
        <w:t>18 million</w:t>
      </w:r>
      <w:r>
        <w:t xml:space="preserve"> estate tax exemption, concern about a gross estate inclusion has disappeared except for very large estates. Instead, it might be advantageous for a beneficiary to hold a general power of appointment, resulting in a stepped-up basis for the trust assets. </w:t>
      </w:r>
    </w:p>
    <w:p w:rsidR="00643EE7" w:rsidRDefault="00643EE7" w:rsidP="00643EE7">
      <w:pPr>
        <w:pStyle w:val="Heading20"/>
        <w:ind w:left="540" w:hanging="540"/>
      </w:pPr>
    </w:p>
    <w:p w:rsidR="00643EE7" w:rsidRDefault="00754CB2" w:rsidP="00643EE7">
      <w:pPr>
        <w:pStyle w:val="Heading20"/>
        <w:tabs>
          <w:tab w:val="left" w:pos="540"/>
        </w:tabs>
        <w:spacing w:line="240" w:lineRule="exact"/>
        <w:ind w:left="1087" w:hanging="547"/>
      </w:pPr>
      <w:r>
        <w:t>1.</w:t>
      </w:r>
      <w:r>
        <w:tab/>
      </w:r>
      <w:r w:rsidR="00643EE7" w:rsidRPr="00643EE7">
        <w:t>I</w:t>
      </w:r>
      <w:r w:rsidR="00643EE7">
        <w:t>n</w:t>
      </w:r>
      <w:r w:rsidRPr="00643EE7">
        <w:t xml:space="preserve"> </w:t>
      </w:r>
      <w:r w:rsidRPr="00643EE7">
        <w:rPr>
          <w:i/>
        </w:rPr>
        <w:t>E</w:t>
      </w:r>
      <w:r w:rsidRPr="00CD74E4">
        <w:rPr>
          <w:i/>
        </w:rPr>
        <w:t xml:space="preserve">state of </w:t>
      </w:r>
      <w:proofErr w:type="spellStart"/>
      <w:r w:rsidRPr="00CD74E4">
        <w:rPr>
          <w:i/>
        </w:rPr>
        <w:t>Vissering</w:t>
      </w:r>
      <w:proofErr w:type="spellEnd"/>
      <w:r w:rsidRPr="00CD74E4">
        <w:rPr>
          <w:i/>
        </w:rPr>
        <w:t xml:space="preserve"> v. Commissi</w:t>
      </w:r>
      <w:r>
        <w:rPr>
          <w:i/>
        </w:rPr>
        <w:t>o</w:t>
      </w:r>
      <w:r w:rsidRPr="00CD74E4">
        <w:rPr>
          <w:i/>
        </w:rPr>
        <w:t>ner</w:t>
      </w:r>
      <w:r>
        <w:t>, 990 F.2d 578 (10</w:t>
      </w:r>
      <w:r w:rsidRPr="00CD74E4">
        <w:rPr>
          <w:vertAlign w:val="superscript"/>
        </w:rPr>
        <w:t>th</w:t>
      </w:r>
      <w:r>
        <w:t xml:space="preserve"> Cir. 1993)</w:t>
      </w:r>
      <w:r w:rsidR="00643EE7">
        <w:t>, V</w:t>
      </w:r>
      <w:r>
        <w:t xml:space="preserve"> was the beneficiary and co-trustee (along with </w:t>
      </w:r>
      <w:r w:rsidR="005A23BC">
        <w:t>a</w:t>
      </w:r>
      <w:r>
        <w:t xml:space="preserve"> bank) of a trust that gave the trustees a discretionary power to distribute principal “as may be required for the continued </w:t>
      </w:r>
      <w:r w:rsidRPr="00CD74E4">
        <w:rPr>
          <w:i/>
        </w:rPr>
        <w:t>comfort</w:t>
      </w:r>
      <w:r>
        <w:t xml:space="preserve">, support, maintenance, or education of said beneficiary.” The </w:t>
      </w:r>
      <w:r w:rsidR="00643EE7">
        <w:t>government argued that because the distribution power was tied to “comfort,” V held at death a general power of appointment, resulting in a gross estate inclusion. The court (generously) held that the quoted phrase satisfied the HEMS standard be</w:t>
      </w:r>
      <w:r>
        <w:t xml:space="preserve">cause the distribution power was </w:t>
      </w:r>
      <w:r w:rsidRPr="00CD74E4">
        <w:rPr>
          <w:i/>
        </w:rPr>
        <w:t>required</w:t>
      </w:r>
      <w:r>
        <w:t xml:space="preserve"> for the </w:t>
      </w:r>
      <w:r w:rsidRPr="00CD74E4">
        <w:rPr>
          <w:i/>
        </w:rPr>
        <w:t>continued</w:t>
      </w:r>
      <w:r>
        <w:t xml:space="preserve"> comfort </w:t>
      </w:r>
      <w:r w:rsidR="00643EE7">
        <w:t>o</w:t>
      </w:r>
      <w:r>
        <w:t>f the beneficiary</w:t>
      </w:r>
      <w:r w:rsidR="00643EE7">
        <w:t>. The result was reversal of a $708,000 deficiency.</w:t>
      </w:r>
    </w:p>
    <w:p w:rsidR="006A2446" w:rsidRDefault="006A2446" w:rsidP="00643EE7">
      <w:pPr>
        <w:pStyle w:val="Heading20"/>
        <w:tabs>
          <w:tab w:val="left" w:pos="540"/>
        </w:tabs>
        <w:spacing w:line="240" w:lineRule="exact"/>
        <w:ind w:left="1087" w:hanging="547"/>
      </w:pPr>
    </w:p>
    <w:p w:rsidR="006A2446" w:rsidRDefault="006A2446" w:rsidP="006A2446">
      <w:pPr>
        <w:pStyle w:val="Heading20"/>
        <w:tabs>
          <w:tab w:val="left" w:pos="540"/>
        </w:tabs>
        <w:spacing w:line="240" w:lineRule="exact"/>
        <w:ind w:left="1087" w:hanging="547"/>
      </w:pPr>
      <w:r>
        <w:t>2.</w:t>
      </w:r>
      <w:r>
        <w:tab/>
        <w:t xml:space="preserve">If the </w:t>
      </w:r>
      <w:proofErr w:type="spellStart"/>
      <w:r w:rsidRPr="00CD74E4">
        <w:rPr>
          <w:i/>
        </w:rPr>
        <w:t>Vissering</w:t>
      </w:r>
      <w:proofErr w:type="spellEnd"/>
      <w:r>
        <w:t xml:space="preserve"> case had arisen today, it is likely that the parties’ arguments would be reversed. The estate would likely argue that V held a general power of appointment, resulting in a basis step-up for the trust assets; the government would argue</w:t>
      </w:r>
      <w:r w:rsidR="005A23BC">
        <w:t xml:space="preserve"> </w:t>
      </w:r>
      <w:r>
        <w:t>no; this indeed met the ascertainable standard test.</w:t>
      </w:r>
    </w:p>
    <w:p w:rsidR="006A2446" w:rsidRDefault="006A2446" w:rsidP="00643EE7">
      <w:pPr>
        <w:pStyle w:val="Heading20"/>
        <w:tabs>
          <w:tab w:val="left" w:pos="540"/>
        </w:tabs>
        <w:spacing w:line="240" w:lineRule="exact"/>
        <w:ind w:left="1087" w:hanging="547"/>
      </w:pPr>
    </w:p>
    <w:p w:rsidR="00B47774" w:rsidRDefault="00B47774" w:rsidP="00B47774">
      <w:pPr>
        <w:pStyle w:val="Heading20"/>
        <w:ind w:left="540" w:hanging="540"/>
      </w:pPr>
      <w:r>
        <w:rPr>
          <w:b/>
        </w:rPr>
        <w:t>B</w:t>
      </w:r>
      <w:r w:rsidRPr="006A2446">
        <w:rPr>
          <w:b/>
        </w:rPr>
        <w:t>.</w:t>
      </w:r>
      <w:r w:rsidRPr="006A2446">
        <w:rPr>
          <w:b/>
        </w:rPr>
        <w:tab/>
        <w:t xml:space="preserve">Does this </w:t>
      </w:r>
      <w:r>
        <w:rPr>
          <w:b/>
        </w:rPr>
        <w:t>suggest</w:t>
      </w:r>
      <w:r w:rsidRPr="006A2446">
        <w:rPr>
          <w:b/>
        </w:rPr>
        <w:t xml:space="preserve"> that beneficiaries should be given a power to invade for “comfort”</w:t>
      </w:r>
      <w:r>
        <w:rPr>
          <w:b/>
        </w:rPr>
        <w:t xml:space="preserve">? There are two reasons why the answer is NO. </w:t>
      </w:r>
      <w:r>
        <w:t xml:space="preserve">First, </w:t>
      </w:r>
      <w:r w:rsidRPr="00B47774">
        <w:rPr>
          <w:b/>
        </w:rPr>
        <w:t>creditor protection given by the trust’s spendthrift clause would be lost</w:t>
      </w:r>
      <w:r>
        <w:t>. Property Code §112.035, which authorizes the use of spendthrift provisions in Texas trusts, states, in subsection (d), that ”[</w:t>
      </w:r>
      <w:proofErr w:type="spellStart"/>
      <w:r>
        <w:t>i</w:t>
      </w:r>
      <w:proofErr w:type="spellEnd"/>
      <w:r>
        <w:t>]f the settlor is also a beneficiary of the trust, a provision restraining the voluntary or involuntary of the settlor’s beneficial interest does not prevent the settlor’s creditors from satisfying claims from the settlor’s interest in the trust estate.” However, subsection (f) provides that “[a] beneficiary of the trust may not be considered to be a settlor … merely because the beneficiary, in any capacity, holds or exercises a presently exercisable power to … consume, appropriate, or distribute property to or for the benefit of the beneficiary if the power is … limited by an ascertainable standard, including health, education, support, or maintenance of the beneficiary.”</w:t>
      </w:r>
    </w:p>
    <w:p w:rsidR="00B47774" w:rsidRDefault="00B47774" w:rsidP="00B47774">
      <w:pPr>
        <w:pStyle w:val="Heading20"/>
        <w:ind w:left="540" w:hanging="540"/>
      </w:pPr>
    </w:p>
    <w:p w:rsidR="00B47774" w:rsidRDefault="00B47774" w:rsidP="00B47774">
      <w:pPr>
        <w:pStyle w:val="Heading20"/>
        <w:ind w:left="540" w:firstLine="0"/>
      </w:pPr>
      <w:r w:rsidRPr="00B47774">
        <w:rPr>
          <w:b/>
        </w:rPr>
        <w:lastRenderedPageBreak/>
        <w:t>Second, there is a Family Law reason relating to divorce</w:t>
      </w:r>
      <w:r w:rsidRPr="00071C32">
        <w:t>.</w:t>
      </w:r>
      <w:r>
        <w:rPr>
          <w:b/>
        </w:rPr>
        <w:t xml:space="preserve"> </w:t>
      </w:r>
      <w:r>
        <w:t>This could enable the attorney for the soon-to-be ex-spouse to argue that a portion of the beneficiary’s trust interest is “on the table” for a just and right division in a divorce action.  Three principles of Texas law are in play. (</w:t>
      </w:r>
      <w:proofErr w:type="spellStart"/>
      <w:r>
        <w:t>i</w:t>
      </w:r>
      <w:proofErr w:type="spellEnd"/>
      <w:r>
        <w:t xml:space="preserve">) In Texas, only community property is subject to just and right division in a divorce proceeding. The divorce court cannot award one spouse’s separate property to the other spouse. (ii) Property acquired by gift, will or inheritance is separate property. (iii) The income from separate property is community property. </w:t>
      </w:r>
    </w:p>
    <w:p w:rsidR="00B47774" w:rsidRDefault="00B47774" w:rsidP="00B47774">
      <w:pPr>
        <w:pStyle w:val="Heading20"/>
        <w:ind w:left="540" w:hanging="540"/>
      </w:pPr>
    </w:p>
    <w:p w:rsidR="00071C32" w:rsidRDefault="00184B67" w:rsidP="00184B67">
      <w:pPr>
        <w:pStyle w:val="Heading20"/>
        <w:ind w:left="1080" w:hanging="540"/>
      </w:pPr>
      <w:r>
        <w:t>1.</w:t>
      </w:r>
      <w:r>
        <w:tab/>
        <w:t xml:space="preserve">In </w:t>
      </w:r>
      <w:hyperlink r:id="rId22" w:anchor="co_pp_sp_852_14" w:history="1">
        <w:r w:rsidRPr="00184B67">
          <w:rPr>
            <w:i/>
          </w:rPr>
          <w:t>Wilmington Trust Co. v. United States</w:t>
        </w:r>
        <w:r w:rsidRPr="00075C35">
          <w:t>, 4 Cl.</w:t>
        </w:r>
        <w:r>
          <w:t xml:space="preserve"> </w:t>
        </w:r>
        <w:r w:rsidRPr="00075C35">
          <w:t>Ct. 6, 14 (1983)</w:t>
        </w:r>
      </w:hyperlink>
      <w:r w:rsidRPr="00075C35">
        <w:t xml:space="preserve">, aff'd, </w:t>
      </w:r>
      <w:hyperlink r:id="rId23" w:history="1">
        <w:r w:rsidRPr="00075C35">
          <w:t>753 F.2d 1055 (Fed.Cir.1985)</w:t>
        </w:r>
      </w:hyperlink>
      <w:r>
        <w:t xml:space="preserve">, </w:t>
      </w:r>
      <w:r w:rsidR="00B47774">
        <w:t xml:space="preserve">a tax law case, </w:t>
      </w:r>
      <w:r>
        <w:t xml:space="preserve">the court held that the </w:t>
      </w:r>
      <w:r w:rsidRPr="00184B67">
        <w:t xml:space="preserve">income </w:t>
      </w:r>
      <w:r>
        <w:t xml:space="preserve">from </w:t>
      </w:r>
      <w:r w:rsidRPr="00184B67">
        <w:t xml:space="preserve">trusts, </w:t>
      </w:r>
      <w:r w:rsidR="005A23BC">
        <w:t xml:space="preserve">the </w:t>
      </w:r>
      <w:r w:rsidRPr="00184B67">
        <w:t>corpus o</w:t>
      </w:r>
      <w:r w:rsidR="005A23BC">
        <w:t>ver</w:t>
      </w:r>
      <w:r w:rsidRPr="00184B67">
        <w:t xml:space="preserve"> which the income beneficiary had no right </w:t>
      </w:r>
      <w:r w:rsidR="005A23BC">
        <w:t>or</w:t>
      </w:r>
      <w:r w:rsidRPr="00184B67">
        <w:t xml:space="preserve"> control, constituted</w:t>
      </w:r>
      <w:r>
        <w:t xml:space="preserve"> the beneficiary’s</w:t>
      </w:r>
      <w:r w:rsidRPr="00184B67">
        <w:t xml:space="preserve"> separate property</w:t>
      </w:r>
      <w:r w:rsidR="0012173D">
        <w:t xml:space="preserve"> </w:t>
      </w:r>
      <w:r>
        <w:t>—the bequest received by the</w:t>
      </w:r>
      <w:r w:rsidRPr="00184B67">
        <w:t xml:space="preserve"> beneficiary </w:t>
      </w:r>
      <w:r>
        <w:t>was the income interest</w:t>
      </w:r>
      <w:r w:rsidR="00071C32">
        <w:t>s</w:t>
      </w:r>
      <w:r>
        <w:t xml:space="preserve"> </w:t>
      </w:r>
      <w:r w:rsidR="00071C32">
        <w:t>themselves</w:t>
      </w:r>
      <w:r>
        <w:t xml:space="preserve">, and not the underlying assets that produced the income. </w:t>
      </w:r>
    </w:p>
    <w:p w:rsidR="00071C32" w:rsidRDefault="00071C32" w:rsidP="00184B67">
      <w:pPr>
        <w:pStyle w:val="Heading20"/>
        <w:ind w:left="1080" w:hanging="540"/>
      </w:pPr>
    </w:p>
    <w:p w:rsidR="00D14518" w:rsidRDefault="00071C32" w:rsidP="00071C32">
      <w:pPr>
        <w:pStyle w:val="Heading20"/>
        <w:ind w:left="1080" w:hanging="540"/>
      </w:pPr>
      <w:r>
        <w:t>2.</w:t>
      </w:r>
      <w:r>
        <w:tab/>
      </w:r>
      <w:hyperlink r:id="rId24" w:anchor="co_pp_sp_713_717" w:history="1">
        <w:r w:rsidRPr="00075C35">
          <w:t xml:space="preserve">In </w:t>
        </w:r>
        <w:r w:rsidRPr="00071C32">
          <w:rPr>
            <w:i/>
          </w:rPr>
          <w:t>Marriage of Long</w:t>
        </w:r>
        <w:r w:rsidRPr="00075C35">
          <w:t>, 542 S.W.2d 712</w:t>
        </w:r>
        <w:r>
          <w:t xml:space="preserve"> </w:t>
        </w:r>
        <w:r w:rsidRPr="00075C35">
          <w:t>(Tex.</w:t>
        </w:r>
        <w:r>
          <w:t xml:space="preserve"> </w:t>
        </w:r>
        <w:r w:rsidRPr="00075C35">
          <w:t>Civ.</w:t>
        </w:r>
        <w:r>
          <w:t xml:space="preserve"> </w:t>
        </w:r>
        <w:r w:rsidRPr="00075C35">
          <w:t>App.</w:t>
        </w:r>
        <w:r w:rsidR="00B96A4B">
          <w:t>—</w:t>
        </w:r>
        <w:r w:rsidRPr="00075C35">
          <w:t>Texarkana 1976, no writ)</w:t>
        </w:r>
      </w:hyperlink>
      <w:r>
        <w:t xml:space="preserve">, H was the income beneficiary of a trust which provided that, upon reaching age 40, H could withdraw all or any portion of the trust assets. If H did not exercise the withdrawal power, the trust continued for H’s life. H did not exercise the age-40 </w:t>
      </w:r>
      <w:r w:rsidR="00D14518">
        <w:t xml:space="preserve">withdrawal power. The court held that the trust income interest and accumulated income were community property. H </w:t>
      </w:r>
      <w:r w:rsidR="00D14518" w:rsidRPr="00075C35">
        <w:t>ha</w:t>
      </w:r>
      <w:r w:rsidR="00D14518">
        <w:t>d</w:t>
      </w:r>
      <w:r w:rsidR="00D14518" w:rsidRPr="00075C35">
        <w:t xml:space="preserve"> a possessory right to </w:t>
      </w:r>
      <w:r w:rsidR="00D14518">
        <w:t xml:space="preserve">the trust </w:t>
      </w:r>
      <w:r w:rsidR="00D14518" w:rsidRPr="00075C35">
        <w:t xml:space="preserve">corpus, </w:t>
      </w:r>
      <w:r w:rsidR="00D14518">
        <w:t xml:space="preserve">and </w:t>
      </w:r>
      <w:r w:rsidR="00D14518" w:rsidRPr="00075C35">
        <w:t>even</w:t>
      </w:r>
      <w:r w:rsidR="005A23BC">
        <w:t xml:space="preserve"> though</w:t>
      </w:r>
      <w:r w:rsidR="00D14518" w:rsidRPr="00075C35">
        <w:t xml:space="preserve"> </w:t>
      </w:r>
      <w:r w:rsidR="00D14518">
        <w:t xml:space="preserve">he had </w:t>
      </w:r>
      <w:r w:rsidR="00D14518" w:rsidRPr="00075C35">
        <w:t xml:space="preserve">chosen not to exercise that right, </w:t>
      </w:r>
      <w:r w:rsidR="00D14518">
        <w:t>he was</w:t>
      </w:r>
      <w:r w:rsidR="00D14518" w:rsidRPr="00075C35">
        <w:t xml:space="preserve"> effectively </w:t>
      </w:r>
      <w:r w:rsidR="00D14518">
        <w:t xml:space="preserve">the </w:t>
      </w:r>
      <w:r w:rsidR="00D14518" w:rsidRPr="00075C35">
        <w:t xml:space="preserve">owner of the trust </w:t>
      </w:r>
      <w:r w:rsidR="00D14518">
        <w:t>property—triggering the rule that the income from separate property is community property</w:t>
      </w:r>
    </w:p>
    <w:p w:rsidR="00D14518" w:rsidRDefault="00D14518" w:rsidP="00071C32">
      <w:pPr>
        <w:pStyle w:val="Heading20"/>
        <w:ind w:left="1080" w:hanging="540"/>
      </w:pPr>
    </w:p>
    <w:p w:rsidR="00B65831" w:rsidRDefault="00D14518" w:rsidP="00071C32">
      <w:pPr>
        <w:pStyle w:val="Heading20"/>
        <w:ind w:left="1080" w:hanging="540"/>
      </w:pPr>
      <w:r>
        <w:t>3.</w:t>
      </w:r>
      <w:r>
        <w:tab/>
        <w:t xml:space="preserve">In </w:t>
      </w:r>
      <w:r w:rsidRPr="00D14518">
        <w:rPr>
          <w:i/>
        </w:rPr>
        <w:t>Sharma v. Routh</w:t>
      </w:r>
      <w:r>
        <w:t xml:space="preserve">, 302 S.W.3 353 (Tex. App.—Houston [14th Dist.] 2009, no writ). H was the beneficiary and trustee of a QTIP trust and a credit shelter trust (created </w:t>
      </w:r>
      <w:r w:rsidR="005A23BC">
        <w:t>by his first wife</w:t>
      </w:r>
      <w:r w:rsidR="0012173D">
        <w:t>, will</w:t>
      </w:r>
      <w:r w:rsidR="005A23BC">
        <w:t xml:space="preserve">) that gave H </w:t>
      </w:r>
      <w:r>
        <w:t>HEMS ascertainable standard distribut</w:t>
      </w:r>
      <w:r w:rsidR="00B65831">
        <w:t>ion</w:t>
      </w:r>
      <w:r w:rsidR="005A23BC">
        <w:t xml:space="preserve"> power</w:t>
      </w:r>
      <w:r w:rsidR="00B65831">
        <w:t>s. H</w:t>
      </w:r>
      <w:r w:rsidR="005A23BC">
        <w:t>, who</w:t>
      </w:r>
      <w:r w:rsidR="00B65831">
        <w:t xml:space="preserve"> never exercised the distribution power</w:t>
      </w:r>
      <w:r w:rsidR="005A23BC">
        <w:t>, married</w:t>
      </w:r>
      <w:r w:rsidR="00B65831">
        <w:t xml:space="preserve"> W—and </w:t>
      </w:r>
      <w:r w:rsidR="0012173D">
        <w:t>two</w:t>
      </w:r>
      <w:r w:rsidR="00B65831">
        <w:t xml:space="preserve"> months later H filed for divorce. In the first draft of its</w:t>
      </w:r>
      <w:r>
        <w:t xml:space="preserve"> opinion, </w:t>
      </w:r>
      <w:r w:rsidR="00B65831">
        <w:t>the court wrote that H’s income interests in the two trusts (and thus a substantial amount of accumulated income) were community property. As to both trusts</w:t>
      </w:r>
      <w:r w:rsidR="00B47774">
        <w:t xml:space="preserve"> (said the court in its draft opinion)</w:t>
      </w:r>
      <w:r w:rsidR="00B65831">
        <w:t xml:space="preserve">, H’s power to make distributions to himself triggered the </w:t>
      </w:r>
      <w:r w:rsidR="00B65831" w:rsidRPr="00B65831">
        <w:rPr>
          <w:i/>
        </w:rPr>
        <w:t>Marriage of Long</w:t>
      </w:r>
      <w:r w:rsidR="00B65831">
        <w:t xml:space="preserve"> result—H owned the trust corpus. Additionally, as to the QTIP trust, it was clear that H owned the trust because upon his death the trust property’s value would be includible in his gross estate for estate tax purposes. (!!)</w:t>
      </w:r>
    </w:p>
    <w:p w:rsidR="00D14518" w:rsidRDefault="00D14518" w:rsidP="00071C32">
      <w:pPr>
        <w:pStyle w:val="Heading20"/>
        <w:ind w:left="1080" w:hanging="540"/>
      </w:pPr>
    </w:p>
    <w:p w:rsidR="00176091" w:rsidRDefault="00B65831" w:rsidP="00B65831">
      <w:pPr>
        <w:pStyle w:val="Heading20"/>
        <w:ind w:left="1620" w:hanging="540"/>
      </w:pPr>
      <w:r>
        <w:t>a.</w:t>
      </w:r>
      <w:r>
        <w:tab/>
        <w:t>The attorney representing H sent me a copy of the draft opinion, and I almost immediately (the clock was ticking) wrote an amicus brief in which I pointed out (as tactful</w:t>
      </w:r>
      <w:r w:rsidR="00176091">
        <w:t>l</w:t>
      </w:r>
      <w:r>
        <w:t>y as possible) OOPS! (</w:t>
      </w:r>
      <w:proofErr w:type="spellStart"/>
      <w:r w:rsidR="00176091">
        <w:t>i</w:t>
      </w:r>
      <w:proofErr w:type="spellEnd"/>
      <w:r w:rsidR="00176091">
        <w:t xml:space="preserve">) The HEMS distribution power </w:t>
      </w:r>
      <w:r w:rsidR="005A23BC">
        <w:t xml:space="preserve">was limited, and </w:t>
      </w:r>
      <w:r w:rsidR="00176091">
        <w:t xml:space="preserve">did not give H </w:t>
      </w:r>
      <w:r w:rsidR="005A23BC">
        <w:t>an interest in the trust corpus.</w:t>
      </w:r>
      <w:r w:rsidR="00176091">
        <w:t xml:space="preserve"> </w:t>
      </w:r>
      <w:r w:rsidR="00B47774">
        <w:t xml:space="preserve">Because distributions were to take into account other available recourses, H had not taken (and could not have taken) distributions for his support and maintenance. </w:t>
      </w:r>
      <w:r w:rsidR="00176091">
        <w:t xml:space="preserve">(ii) </w:t>
      </w:r>
      <w:r w:rsidR="005A23BC">
        <w:t>T</w:t>
      </w:r>
      <w:r w:rsidR="00176091">
        <w:t>he §2044 inclusion in H’s gross estate was the result of the QTIP election, and not because H owned the trust property.</w:t>
      </w:r>
    </w:p>
    <w:p w:rsidR="00176091" w:rsidRDefault="00176091" w:rsidP="00B65831">
      <w:pPr>
        <w:pStyle w:val="Heading20"/>
        <w:ind w:left="1620" w:hanging="540"/>
      </w:pPr>
    </w:p>
    <w:p w:rsidR="00176091" w:rsidRDefault="00176091" w:rsidP="00176091">
      <w:pPr>
        <w:pStyle w:val="Heading20"/>
        <w:ind w:left="1620" w:hanging="540"/>
      </w:pPr>
      <w:r>
        <w:t>b.</w:t>
      </w:r>
      <w:r>
        <w:tab/>
        <w:t xml:space="preserve">In its published opinion, the court ruled that H did not “own” the QTIP trust, and that the H would have a </w:t>
      </w:r>
      <w:r w:rsidRPr="00075C35">
        <w:t xml:space="preserve">present possessory right to receive </w:t>
      </w:r>
      <w:r>
        <w:t xml:space="preserve">principal </w:t>
      </w:r>
      <w:r w:rsidRPr="00075C35">
        <w:t xml:space="preserve">distributions </w:t>
      </w:r>
      <w:r>
        <w:t xml:space="preserve">from the trusts </w:t>
      </w:r>
      <w:r w:rsidRPr="00075C35">
        <w:t xml:space="preserve">only if he determined that such distributions were necessary for his maintenance under the </w:t>
      </w:r>
      <w:r>
        <w:t>s</w:t>
      </w:r>
      <w:r w:rsidRPr="00075C35">
        <w:t xml:space="preserve">upport </w:t>
      </w:r>
      <w:r>
        <w:t>provision. The record showed</w:t>
      </w:r>
      <w:r w:rsidRPr="00075C35">
        <w:t xml:space="preserve"> no evidence that </w:t>
      </w:r>
      <w:r>
        <w:t xml:space="preserve">H was </w:t>
      </w:r>
      <w:r w:rsidRPr="00075C35">
        <w:t>ever entitled to receive distributions of trust corpus.</w:t>
      </w:r>
    </w:p>
    <w:p w:rsidR="00B96A4B" w:rsidRDefault="00B96A4B">
      <w:pPr>
        <w:spacing w:after="160" w:line="259" w:lineRule="auto"/>
        <w:jc w:val="left"/>
        <w:rPr>
          <w:rFonts w:eastAsiaTheme="majorEastAsia"/>
          <w:b/>
          <w:color w:val="000000" w:themeColor="text1"/>
          <w:sz w:val="28"/>
          <w:szCs w:val="28"/>
        </w:rPr>
      </w:pPr>
      <w:r>
        <w:rPr>
          <w:color w:val="000000" w:themeColor="text1"/>
        </w:rPr>
        <w:br w:type="page"/>
      </w:r>
    </w:p>
    <w:p w:rsidR="00AC05FB" w:rsidRPr="00790866" w:rsidRDefault="00C9286B" w:rsidP="00AC05FB">
      <w:pPr>
        <w:pStyle w:val="Heading1"/>
        <w:keepNext w:val="0"/>
        <w:tabs>
          <w:tab w:val="left" w:pos="540"/>
        </w:tabs>
        <w:spacing w:line="240" w:lineRule="atLeast"/>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V</w:t>
      </w:r>
      <w:r w:rsidR="00176091">
        <w:rPr>
          <w:rFonts w:ascii="Times New Roman" w:hAnsi="Times New Roman" w:cs="Times New Roman"/>
          <w:color w:val="000000" w:themeColor="text1"/>
        </w:rPr>
        <w:t>I</w:t>
      </w:r>
      <w:r w:rsidR="00AC05FB">
        <w:rPr>
          <w:rFonts w:ascii="Times New Roman" w:hAnsi="Times New Roman" w:cs="Times New Roman"/>
          <w:color w:val="000000" w:themeColor="text1"/>
        </w:rPr>
        <w:t xml:space="preserve">. </w:t>
      </w:r>
      <w:r w:rsidR="00AC05FB" w:rsidRPr="00790866">
        <w:rPr>
          <w:rFonts w:ascii="Times New Roman" w:hAnsi="Times New Roman" w:cs="Times New Roman"/>
          <w:color w:val="000000" w:themeColor="text1"/>
        </w:rPr>
        <w:t>Section 2056—Marital Deduction</w:t>
      </w:r>
    </w:p>
    <w:p w:rsidR="006A0EEC" w:rsidRDefault="006A0EEC" w:rsidP="00AC05FB">
      <w:pPr>
        <w:pStyle w:val="Heading20"/>
        <w:tabs>
          <w:tab w:val="left" w:pos="540"/>
        </w:tabs>
        <w:spacing w:line="240" w:lineRule="atLeast"/>
        <w:ind w:left="540" w:hanging="547"/>
        <w:rPr>
          <w:b/>
        </w:rPr>
      </w:pPr>
    </w:p>
    <w:p w:rsidR="00AC05FB" w:rsidRDefault="006A0EEC" w:rsidP="00AC05FB">
      <w:pPr>
        <w:pStyle w:val="Heading20"/>
        <w:tabs>
          <w:tab w:val="left" w:pos="540"/>
        </w:tabs>
        <w:spacing w:line="240" w:lineRule="atLeast"/>
        <w:ind w:left="540" w:hanging="547"/>
      </w:pPr>
      <w:r>
        <w:rPr>
          <w:b/>
        </w:rPr>
        <w:t>A</w:t>
      </w:r>
      <w:r w:rsidR="00AC05FB" w:rsidRPr="00652219">
        <w:rPr>
          <w:b/>
        </w:rPr>
        <w:t>.</w:t>
      </w:r>
      <w:r w:rsidR="00AC05FB" w:rsidRPr="00652219">
        <w:rPr>
          <w:b/>
        </w:rPr>
        <w:tab/>
      </w:r>
      <w:r w:rsidR="00AC05FB">
        <w:rPr>
          <w:b/>
        </w:rPr>
        <w:t xml:space="preserve">Personal representative ordered to make portability </w:t>
      </w:r>
      <w:r w:rsidR="00B96A4B">
        <w:rPr>
          <w:b/>
        </w:rPr>
        <w:t>election</w:t>
      </w:r>
      <w:r w:rsidR="00AC05FB">
        <w:rPr>
          <w:b/>
        </w:rPr>
        <w:t xml:space="preserve"> notwithstanding general waiver in premarital agreement</w:t>
      </w:r>
      <w:r w:rsidR="00AC05FB">
        <w:t xml:space="preserve">. </w:t>
      </w:r>
      <w:r w:rsidR="00AC05FB">
        <w:rPr>
          <w:i/>
        </w:rPr>
        <w:t xml:space="preserve">Estate of </w:t>
      </w:r>
      <w:proofErr w:type="spellStart"/>
      <w:r w:rsidR="00AC05FB">
        <w:rPr>
          <w:i/>
        </w:rPr>
        <w:t>Vose</w:t>
      </w:r>
      <w:proofErr w:type="spellEnd"/>
      <w:r w:rsidR="00AC05FB">
        <w:rPr>
          <w:i/>
        </w:rPr>
        <w:t xml:space="preserve"> v. Lee</w:t>
      </w:r>
      <w:r w:rsidR="00AC05FB">
        <w:t>, 390 P.3d 238 (Okla. 2017), is a case of first impression as to the duty of a personal representative to make a portability election. Decedent died intestate in 2016, and her surviving spouse (</w:t>
      </w:r>
      <w:proofErr w:type="spellStart"/>
      <w:r w:rsidR="00AC05FB">
        <w:t>Vose</w:t>
      </w:r>
      <w:proofErr w:type="spellEnd"/>
      <w:r w:rsidR="00AC05FB">
        <w:t xml:space="preserve">, who married decedent in 2006) was initially appointed administrator of the estate. A premarital agreement was discovered under which </w:t>
      </w:r>
      <w:proofErr w:type="spellStart"/>
      <w:r w:rsidR="00AC05FB">
        <w:t>Vose</w:t>
      </w:r>
      <w:proofErr w:type="spellEnd"/>
      <w:r w:rsidR="00AC05FB">
        <w:t xml:space="preserve"> had waived his right to be appointed personal representative, and decedent’s son by her first marriage (Lee) was appointed administrator. Although the size of the estate is not mentioned in the court’s opinion, it was less than $5.45 million (the estate tax exemption in 2016), meaning that no federal estate tax return was required to be filed. </w:t>
      </w:r>
      <w:proofErr w:type="spellStart"/>
      <w:r w:rsidR="00AC05FB">
        <w:t>Vose</w:t>
      </w:r>
      <w:proofErr w:type="spellEnd"/>
      <w:r w:rsidR="00AC05FB">
        <w:t xml:space="preserve"> filed a petition to compel the administrator to file an estate tax return for purposed of making a portability election, agreeing to pay any costs associated with preparing the return. The administrator contested the petition on the ground that the premarital agreement waived “all claims and rights, actual, inchoate, vested, or contingent” in the estate. The Oklahoma Supreme Court affirmed the lower court’s order that the administrator must timely file an estate tax return for purposes of electing portability.</w:t>
      </w:r>
    </w:p>
    <w:p w:rsidR="00AC05FB" w:rsidRDefault="00AC05FB" w:rsidP="00AC05FB">
      <w:pPr>
        <w:pStyle w:val="Heading20"/>
        <w:tabs>
          <w:tab w:val="left" w:pos="540"/>
        </w:tabs>
        <w:spacing w:line="240" w:lineRule="atLeast"/>
        <w:ind w:left="540" w:hanging="547"/>
      </w:pPr>
    </w:p>
    <w:p w:rsidR="00AC05FB" w:rsidRDefault="00AC05FB" w:rsidP="00AC05FB">
      <w:pPr>
        <w:pStyle w:val="Heading20"/>
        <w:tabs>
          <w:tab w:val="left" w:pos="540"/>
        </w:tabs>
        <w:spacing w:line="240" w:lineRule="atLeast"/>
        <w:ind w:left="1087" w:hanging="547"/>
      </w:pPr>
      <w:r>
        <w:t>1.</w:t>
      </w:r>
      <w:r>
        <w:tab/>
        <w:t xml:space="preserve">The court concluded that Voss’s standing to assert his interest in the DSUE was not barred by the prenuptial agreement. Int. Rev. Code §2010 “grants </w:t>
      </w:r>
      <w:proofErr w:type="spellStart"/>
      <w:r>
        <w:t>Vose</w:t>
      </w:r>
      <w:proofErr w:type="spellEnd"/>
      <w:r>
        <w:t xml:space="preserve"> a potential interest as the surviving spouse in the portability of the DSUE, independent of his ability to take as an heir…. The determinative question, then, is not whether the </w:t>
      </w:r>
      <w:proofErr w:type="spellStart"/>
      <w:r>
        <w:t>antenuptial</w:t>
      </w:r>
      <w:proofErr w:type="spellEnd"/>
      <w:r>
        <w:t xml:space="preserve"> agreement between </w:t>
      </w:r>
      <w:proofErr w:type="spellStart"/>
      <w:r>
        <w:t>Vose</w:t>
      </w:r>
      <w:proofErr w:type="spellEnd"/>
      <w:r>
        <w:t xml:space="preserve"> and Decedent bars him from being a legal heir, but whether the agreement bars him from having any interest in the portability of the DSUE.”</w:t>
      </w:r>
    </w:p>
    <w:p w:rsidR="00AC05FB" w:rsidRDefault="00AC05FB" w:rsidP="00AC05FB">
      <w:pPr>
        <w:pStyle w:val="Heading20"/>
        <w:tabs>
          <w:tab w:val="left" w:pos="540"/>
        </w:tabs>
        <w:spacing w:line="240" w:lineRule="atLeast"/>
        <w:ind w:left="1087" w:hanging="547"/>
      </w:pPr>
    </w:p>
    <w:p w:rsidR="00AC05FB" w:rsidRDefault="00AC05FB" w:rsidP="00AC05FB">
      <w:pPr>
        <w:pStyle w:val="Heading20"/>
        <w:tabs>
          <w:tab w:val="left" w:pos="540"/>
        </w:tabs>
        <w:spacing w:line="240" w:lineRule="atLeast"/>
        <w:ind w:left="1087" w:hanging="547"/>
      </w:pPr>
      <w:r>
        <w:t>2.</w:t>
      </w:r>
      <w:r>
        <w:tab/>
        <w:t>The court noted that a waiver of rights is not binding unless made with full knowledge of the rights intended to be waived. The premarital agreement was made in 2006; the law allowing a portability election was enacted in 2010. Although the parties clearly intended a comprehensive waiver of their marital rights under the law as they existed at the time, the agreement was silent as to portability because the change in law was unforeseeable to the parties when the contract was made.</w:t>
      </w:r>
    </w:p>
    <w:p w:rsidR="00AC05FB" w:rsidRDefault="00AC05FB" w:rsidP="00AC05FB">
      <w:pPr>
        <w:pStyle w:val="Heading20"/>
        <w:tabs>
          <w:tab w:val="left" w:pos="540"/>
        </w:tabs>
        <w:spacing w:line="240" w:lineRule="atLeast"/>
        <w:ind w:left="1087" w:hanging="547"/>
      </w:pPr>
    </w:p>
    <w:p w:rsidR="00AC05FB" w:rsidRDefault="00AC05FB" w:rsidP="00AC05FB">
      <w:pPr>
        <w:pStyle w:val="Heading20"/>
        <w:tabs>
          <w:tab w:val="left" w:pos="540"/>
        </w:tabs>
        <w:spacing w:line="240" w:lineRule="atLeast"/>
        <w:ind w:left="1087" w:hanging="547"/>
      </w:pPr>
      <w:r>
        <w:t>3.</w:t>
      </w:r>
      <w:r>
        <w:tab/>
        <w:t xml:space="preserve">“An administrator of an estate occupies a fiduciary relationship toward all parties having an interest in the estate.” The court rejected the administrator’s contention that because the DSUE was valuable only to </w:t>
      </w:r>
      <w:proofErr w:type="spellStart"/>
      <w:r>
        <w:t>Vose</w:t>
      </w:r>
      <w:proofErr w:type="spellEnd"/>
      <w:r>
        <w:t xml:space="preserve">, he should be allowed to demand consideration from </w:t>
      </w:r>
      <w:proofErr w:type="spellStart"/>
      <w:r>
        <w:t>Vose</w:t>
      </w:r>
      <w:proofErr w:type="spellEnd"/>
      <w:r>
        <w:t xml:space="preserve"> in exchange for making the election. </w:t>
      </w:r>
    </w:p>
    <w:p w:rsidR="00AC05FB" w:rsidRDefault="00AC05FB" w:rsidP="00AC05FB">
      <w:pPr>
        <w:pStyle w:val="Heading20"/>
        <w:tabs>
          <w:tab w:val="left" w:pos="540"/>
        </w:tabs>
        <w:spacing w:line="240" w:lineRule="atLeast"/>
        <w:ind w:left="540" w:hanging="547"/>
        <w:rPr>
          <w:b/>
        </w:rPr>
      </w:pPr>
    </w:p>
    <w:p w:rsidR="00AC05FB" w:rsidRDefault="006A0EEC" w:rsidP="00AC05FB">
      <w:pPr>
        <w:pStyle w:val="Heading20"/>
        <w:tabs>
          <w:tab w:val="left" w:pos="540"/>
        </w:tabs>
        <w:spacing w:line="240" w:lineRule="atLeast"/>
        <w:ind w:left="540" w:hanging="547"/>
      </w:pPr>
      <w:r>
        <w:rPr>
          <w:b/>
        </w:rPr>
        <w:t>B</w:t>
      </w:r>
      <w:r w:rsidR="00AC05FB">
        <w:rPr>
          <w:b/>
        </w:rPr>
        <w:t>.</w:t>
      </w:r>
      <w:r w:rsidR="00AC05FB">
        <w:rPr>
          <w:b/>
        </w:rPr>
        <w:tab/>
        <w:t xml:space="preserve">Service acted properly in examining estate tax return of predeceased spouse to determine correct DSUE amount. </w:t>
      </w:r>
      <w:r w:rsidR="00AC05FB">
        <w:t xml:space="preserve">In </w:t>
      </w:r>
      <w:r w:rsidR="00AC05FB" w:rsidRPr="0075582B">
        <w:rPr>
          <w:i/>
        </w:rPr>
        <w:t>Estate of Sower v. Commissioner</w:t>
      </w:r>
      <w:r w:rsidR="00AC05FB">
        <w:t>, 149 T.C. No. 11 (2017), H died in 2012, survived by his spouse S. The estate tax return for H’s estate, which reported no estate tax liability, elected portability of the deceased spousal unused exclusion (DSUE) in the amount of $1,256,033. The return reported no taxable gifts, but it listed $945,420 in taxable gifts on the worksheet provided to calculate taxable gifts to be reported on the return. (Oops!) On November 1, 2013, the Service issue a Letter 627, Estate Tax Closing Document, which stated that the return had been accepted as filed, and that the Service would not reopen or examine the return unless there was evidence of fraud etc., a substantial error based on an established IRS position, or a serious administrative error.</w:t>
      </w:r>
    </w:p>
    <w:p w:rsidR="00AC05FB" w:rsidRDefault="00AC05FB" w:rsidP="00AC05FB">
      <w:pPr>
        <w:pStyle w:val="Heading20"/>
        <w:tabs>
          <w:tab w:val="left" w:pos="540"/>
        </w:tabs>
        <w:spacing w:line="240" w:lineRule="atLeast"/>
        <w:ind w:left="540" w:hanging="547"/>
      </w:pPr>
    </w:p>
    <w:p w:rsidR="00AC05FB" w:rsidRDefault="00AC05FB" w:rsidP="00AC05FB">
      <w:pPr>
        <w:pStyle w:val="Heading20"/>
        <w:tabs>
          <w:tab w:val="left" w:pos="540"/>
        </w:tabs>
        <w:spacing w:line="240" w:lineRule="atLeast"/>
        <w:ind w:left="1087" w:hanging="547"/>
      </w:pPr>
      <w:r>
        <w:t>1.</w:t>
      </w:r>
      <w:r>
        <w:tab/>
        <w:t xml:space="preserve">S died in August 7, 2013, and the estate tax return for S’s estate claimed a DSUE of $1, 256,033 from H’s estate. (As with the return for H’s estate, the return did not report a taxable gift of $997,921, but did not include a worksheet showing such a gift.) In the examination of the return </w:t>
      </w:r>
      <w:r>
        <w:lastRenderedPageBreak/>
        <w:t>for S’s estate, the Service noted the problem with her unreported gifts. The Service also opened an examination of the return for H’s estate to determine the proper DSUE amount, and uncovered the same problem of unreported taxable gifts. This did not cause any tax to be paid from H’s estate, but the Service concluded that the DSUE amount should be reduced to $282,690—and the Tax Court agreed.</w:t>
      </w:r>
    </w:p>
    <w:p w:rsidR="00AC05FB" w:rsidRDefault="00AC05FB" w:rsidP="00AC05FB">
      <w:pPr>
        <w:pStyle w:val="Heading20"/>
        <w:tabs>
          <w:tab w:val="left" w:pos="540"/>
        </w:tabs>
        <w:spacing w:line="240" w:lineRule="atLeast"/>
        <w:ind w:left="1087" w:hanging="547"/>
      </w:pPr>
    </w:p>
    <w:p w:rsidR="00AC05FB" w:rsidRDefault="00AC05FB" w:rsidP="00AC05FB">
      <w:pPr>
        <w:pStyle w:val="Heading20"/>
        <w:tabs>
          <w:tab w:val="left" w:pos="540"/>
        </w:tabs>
        <w:spacing w:line="240" w:lineRule="atLeast"/>
        <w:ind w:left="1087" w:hanging="547"/>
      </w:pPr>
      <w:r>
        <w:t>2.</w:t>
      </w:r>
      <w:r>
        <w:tab/>
        <w:t xml:space="preserve">The court noted that </w:t>
      </w:r>
      <w:r w:rsidRPr="0075582B">
        <w:t>§2010(c</w:t>
      </w:r>
      <w:proofErr w:type="gramStart"/>
      <w:r w:rsidRPr="0075582B">
        <w:t>)(</w:t>
      </w:r>
      <w:proofErr w:type="gramEnd"/>
      <w:r w:rsidRPr="0075582B">
        <w:t xml:space="preserve">5)(B) </w:t>
      </w:r>
      <w:r>
        <w:t xml:space="preserve">expressly </w:t>
      </w:r>
      <w:r w:rsidRPr="0075582B">
        <w:t xml:space="preserve">authorizes the </w:t>
      </w:r>
      <w:r>
        <w:t xml:space="preserve">Service </w:t>
      </w:r>
      <w:r w:rsidRPr="0075582B">
        <w:t>to look at the predeceased spouse’s return. </w:t>
      </w:r>
      <w:r>
        <w:t xml:space="preserve">Moreover, </w:t>
      </w:r>
      <w:r w:rsidRPr="0075582B">
        <w:t>§</w:t>
      </w:r>
      <w:r w:rsidRPr="00DD164B">
        <w:t xml:space="preserve">7602 gives the </w:t>
      </w:r>
      <w:r>
        <w:t>Service</w:t>
      </w:r>
      <w:r w:rsidRPr="00DD164B">
        <w:t xml:space="preserve"> broad discretion to e</w:t>
      </w:r>
      <w:r>
        <w:t xml:space="preserve">xamine a range of materials to </w:t>
      </w:r>
      <w:r w:rsidRPr="00DD164B">
        <w:t>ascertain</w:t>
      </w:r>
      <w:r>
        <w:t xml:space="preserve"> t</w:t>
      </w:r>
      <w:r w:rsidRPr="00DD164B">
        <w:t>he correctness of any return</w:t>
      </w:r>
      <w:r>
        <w:t>.</w:t>
      </w:r>
      <w:r w:rsidRPr="00DD164B">
        <w:t xml:space="preserve"> </w:t>
      </w:r>
      <w:r>
        <w:t xml:space="preserve">Thus, </w:t>
      </w:r>
      <w:r w:rsidRPr="00DD164B">
        <w:t xml:space="preserve">the </w:t>
      </w:r>
      <w:r>
        <w:t>Service prop</w:t>
      </w:r>
      <w:r w:rsidRPr="00DD164B">
        <w:t xml:space="preserve">erly exercised the power conferred </w:t>
      </w:r>
      <w:r>
        <w:t>by these statutes to determine the proper DSUE amount.</w:t>
      </w:r>
    </w:p>
    <w:p w:rsidR="00AC05FB" w:rsidRDefault="00AC05FB" w:rsidP="00AC05FB">
      <w:pPr>
        <w:pStyle w:val="Heading20"/>
        <w:tabs>
          <w:tab w:val="left" w:pos="540"/>
        </w:tabs>
        <w:spacing w:line="240" w:lineRule="atLeast"/>
        <w:ind w:left="540" w:hanging="547"/>
      </w:pPr>
    </w:p>
    <w:p w:rsidR="00AC05FB" w:rsidRDefault="00AC05FB" w:rsidP="00AC05FB">
      <w:pPr>
        <w:pStyle w:val="Heading20"/>
        <w:tabs>
          <w:tab w:val="left" w:pos="540"/>
        </w:tabs>
        <w:spacing w:line="240" w:lineRule="atLeast"/>
        <w:ind w:left="1087" w:hanging="547"/>
      </w:pPr>
      <w:r>
        <w:t>3.</w:t>
      </w:r>
      <w:r>
        <w:tab/>
        <w:t xml:space="preserve">The estate argued that the Letter 627, which accepted H’s estate tax return as filed, constituted a closing agreement under </w:t>
      </w:r>
      <w:r w:rsidRPr="0075582B">
        <w:t>§7121</w:t>
      </w:r>
      <w:r>
        <w:t>, which estopped the Service</w:t>
      </w:r>
      <w:r w:rsidRPr="0075582B">
        <w:t xml:space="preserve"> from making changes to the DSUE amount flowing from that return.</w:t>
      </w:r>
      <w:r>
        <w:t xml:space="preserve"> The court responded that </w:t>
      </w:r>
      <w:r w:rsidRPr="0075582B">
        <w:t>the regulations specifically limit closing agreements to agreements using the prescribed forms Form 866</w:t>
      </w:r>
      <w:r>
        <w:t xml:space="preserve"> (</w:t>
      </w:r>
      <w:r w:rsidRPr="0042399E">
        <w:t>Agreement as to Final Determination of Tax Liability)</w:t>
      </w:r>
      <w:r w:rsidRPr="0075582B">
        <w:t xml:space="preserve"> and Form 906</w:t>
      </w:r>
      <w:r>
        <w:t xml:space="preserve"> (</w:t>
      </w:r>
      <w:r w:rsidRPr="0042399E">
        <w:t>Closing Agreement on Final Determination Covering Specific Matters)</w:t>
      </w:r>
      <w:r w:rsidRPr="0075582B">
        <w:t>.</w:t>
      </w:r>
    </w:p>
    <w:p w:rsidR="00AC05FB" w:rsidRDefault="00AC05FB" w:rsidP="00AC05FB">
      <w:pPr>
        <w:pStyle w:val="Heading20"/>
        <w:tabs>
          <w:tab w:val="left" w:pos="540"/>
        </w:tabs>
        <w:spacing w:line="240" w:lineRule="atLeast"/>
        <w:ind w:left="1087" w:hanging="547"/>
      </w:pPr>
    </w:p>
    <w:p w:rsidR="00AC05FB" w:rsidRDefault="00AC05FB" w:rsidP="00AC05FB">
      <w:pPr>
        <w:pStyle w:val="Heading20"/>
        <w:tabs>
          <w:tab w:val="left" w:pos="540"/>
        </w:tabs>
        <w:spacing w:line="240" w:lineRule="atLeast"/>
        <w:ind w:left="1087" w:hanging="547"/>
      </w:pPr>
      <w:r>
        <w:t>4.</w:t>
      </w:r>
      <w:r>
        <w:tab/>
        <w:t>The estate also contended that this was an improper second examination. Not so, said the court. There was no examination because an examination contemplates a report for additional facts. Here, the Service did not request any further facts from H’s estate, but merely reviewed a return that was already in the Service’s possession.</w:t>
      </w:r>
      <w:r w:rsidRPr="0075582B">
        <w:t xml:space="preserve">  </w:t>
      </w:r>
    </w:p>
    <w:sectPr w:rsidR="00AC05FB" w:rsidSect="00A97EB8">
      <w:headerReference w:type="first" r:id="rId25"/>
      <w:foot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774" w:rsidRDefault="00B47774">
      <w:r>
        <w:separator/>
      </w:r>
    </w:p>
  </w:endnote>
  <w:endnote w:type="continuationSeparator" w:id="0">
    <w:p w:rsidR="00B47774" w:rsidRDefault="00B4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e Gothic LT Std">
    <w:altName w:val="Trade Gothic LT Std"/>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74" w:rsidRDefault="00B47774" w:rsidP="00AC05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B47774" w:rsidRDefault="00B47774">
    <w:pPr>
      <w:pStyle w:val="Footer"/>
    </w:pPr>
  </w:p>
  <w:p w:rsidR="00B47774" w:rsidRDefault="00B47774"/>
  <w:p w:rsidR="00B47774" w:rsidRDefault="00B4777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494952"/>
      <w:docPartObj>
        <w:docPartGallery w:val="Page Numbers (Bottom of Page)"/>
        <w:docPartUnique/>
      </w:docPartObj>
    </w:sdtPr>
    <w:sdtEndPr/>
    <w:sdtContent>
      <w:p w:rsidR="00B47774" w:rsidRDefault="00B47774">
        <w:pPr>
          <w:pStyle w:val="Footer"/>
          <w:jc w:val="center"/>
        </w:pPr>
        <w:r>
          <w:t>-</w:t>
        </w:r>
        <w:r>
          <w:fldChar w:fldCharType="begin"/>
        </w:r>
        <w:r>
          <w:instrText xml:space="preserve"> PAGE   \* MERGEFORMAT </w:instrText>
        </w:r>
        <w:r>
          <w:fldChar w:fldCharType="separate"/>
        </w:r>
        <w:r w:rsidR="00DC2FE8">
          <w:rPr>
            <w:noProof/>
          </w:rPr>
          <w:t>13</w:t>
        </w:r>
        <w:r>
          <w:rPr>
            <w:noProof/>
          </w:rPr>
          <w:fldChar w:fldCharType="end"/>
        </w:r>
        <w:r>
          <w:rPr>
            <w:noProof/>
          </w:rPr>
          <w:t>-</w:t>
        </w:r>
      </w:p>
    </w:sdtContent>
  </w:sdt>
  <w:p w:rsidR="00B47774" w:rsidRDefault="00B47774"/>
  <w:p w:rsidR="00B47774" w:rsidRDefault="00B4777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74" w:rsidRDefault="00B47774">
    <w:pPr>
      <w:pStyle w:val="Footer"/>
      <w:jc w:val="center"/>
    </w:pPr>
  </w:p>
  <w:p w:rsidR="00B47774" w:rsidRDefault="00B47774">
    <w:pPr>
      <w:pStyle w:val="Footer"/>
    </w:pPr>
  </w:p>
  <w:p w:rsidR="00B47774" w:rsidRDefault="00B47774"/>
  <w:p w:rsidR="00B47774" w:rsidRDefault="00B4777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74" w:rsidRDefault="00B47774">
    <w:pPr>
      <w:pStyle w:val="Footer"/>
      <w:jc w:val="center"/>
    </w:pPr>
    <w:proofErr w:type="spellStart"/>
    <w:proofErr w:type="gramStart"/>
    <w:r>
      <w:t>i</w:t>
    </w:r>
    <w:proofErr w:type="spellEnd"/>
    <w:proofErr w:type="gramEnd"/>
  </w:p>
  <w:p w:rsidR="00B47774" w:rsidRDefault="00B477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74" w:rsidRDefault="00B47774">
    <w:pPr>
      <w:pStyle w:val="Footer"/>
      <w:jc w:val="center"/>
    </w:pPr>
    <w:proofErr w:type="spellStart"/>
    <w:proofErr w:type="gramStart"/>
    <w:r>
      <w:t>i</w:t>
    </w:r>
    <w:proofErr w:type="spellEnd"/>
    <w:proofErr w:type="gramEnd"/>
  </w:p>
  <w:p w:rsidR="00B47774" w:rsidRDefault="00B47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774" w:rsidRDefault="00B47774">
      <w:r>
        <w:separator/>
      </w:r>
    </w:p>
  </w:footnote>
  <w:footnote w:type="continuationSeparator" w:id="0">
    <w:p w:rsidR="00B47774" w:rsidRDefault="00B4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74" w:rsidRDefault="00B47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74" w:rsidRDefault="00B4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1C92"/>
    <w:multiLevelType w:val="hybridMultilevel"/>
    <w:tmpl w:val="E7820EF8"/>
    <w:lvl w:ilvl="0" w:tplc="692C5CC2">
      <w:start w:val="1"/>
      <w:numFmt w:val="decimal"/>
      <w:lvlText w:val="%1."/>
      <w:lvlJc w:val="left"/>
      <w:pPr>
        <w:ind w:left="1170" w:hanging="63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89F5D6F"/>
    <w:multiLevelType w:val="hybridMultilevel"/>
    <w:tmpl w:val="A050B7A6"/>
    <w:lvl w:ilvl="0" w:tplc="CAF48DBC">
      <w:start w:val="1"/>
      <w:numFmt w:val="upperLetter"/>
      <w:lvlText w:val="%1."/>
      <w:lvlJc w:val="left"/>
      <w:pPr>
        <w:ind w:left="45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E2A1AE3"/>
    <w:multiLevelType w:val="hybridMultilevel"/>
    <w:tmpl w:val="DEA6FF64"/>
    <w:lvl w:ilvl="0" w:tplc="6D6892E4">
      <w:start w:val="1"/>
      <w:numFmt w:val="lowerLetter"/>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772E7F"/>
    <w:multiLevelType w:val="hybridMultilevel"/>
    <w:tmpl w:val="F0D24092"/>
    <w:lvl w:ilvl="0" w:tplc="0C94DE98">
      <w:start w:val="1"/>
      <w:numFmt w:val="lowerLetter"/>
      <w:lvlText w:val="%1."/>
      <w:lvlJc w:val="left"/>
      <w:pPr>
        <w:ind w:left="1080" w:hanging="540"/>
      </w:pPr>
      <w:rPr>
        <w:rFonts w:hint="default"/>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8347A7"/>
    <w:multiLevelType w:val="hybridMultilevel"/>
    <w:tmpl w:val="6ECE5BD2"/>
    <w:lvl w:ilvl="0" w:tplc="C43E1510">
      <w:start w:val="1"/>
      <w:numFmt w:val="lowerLetter"/>
      <w:lvlText w:val="%1."/>
      <w:lvlJc w:val="left"/>
      <w:pPr>
        <w:ind w:left="1627" w:hanging="540"/>
      </w:pPr>
      <w:rPr>
        <w:rFonts w:hint="default"/>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5" w15:restartNumberingAfterBreak="0">
    <w:nsid w:val="18A52F64"/>
    <w:multiLevelType w:val="hybridMultilevel"/>
    <w:tmpl w:val="98FCA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96D1E"/>
    <w:multiLevelType w:val="hybridMultilevel"/>
    <w:tmpl w:val="BE56A494"/>
    <w:lvl w:ilvl="0" w:tplc="E0DACD18">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F064E0A"/>
    <w:multiLevelType w:val="hybridMultilevel"/>
    <w:tmpl w:val="8FDC64C6"/>
    <w:lvl w:ilvl="0" w:tplc="2D104AA8">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15:restartNumberingAfterBreak="0">
    <w:nsid w:val="38AB40CE"/>
    <w:multiLevelType w:val="hybridMultilevel"/>
    <w:tmpl w:val="EF48399E"/>
    <w:lvl w:ilvl="0" w:tplc="020E47AC">
      <w:start w:val="1"/>
      <w:numFmt w:val="lowerLetter"/>
      <w:lvlText w:val="%1."/>
      <w:lvlJc w:val="left"/>
      <w:pPr>
        <w:ind w:left="1627" w:hanging="540"/>
      </w:pPr>
      <w:rPr>
        <w:rFonts w:hint="default"/>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9" w15:restartNumberingAfterBreak="0">
    <w:nsid w:val="4183087E"/>
    <w:multiLevelType w:val="hybridMultilevel"/>
    <w:tmpl w:val="8FA29E74"/>
    <w:lvl w:ilvl="0" w:tplc="735067E8">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3526543"/>
    <w:multiLevelType w:val="hybridMultilevel"/>
    <w:tmpl w:val="5A10ABBE"/>
    <w:lvl w:ilvl="0" w:tplc="A7AAB856">
      <w:start w:val="1"/>
      <w:numFmt w:val="upp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95775"/>
    <w:multiLevelType w:val="hybridMultilevel"/>
    <w:tmpl w:val="07942CC4"/>
    <w:lvl w:ilvl="0" w:tplc="F738BFD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5882C6F"/>
    <w:multiLevelType w:val="hybridMultilevel"/>
    <w:tmpl w:val="F14C9592"/>
    <w:lvl w:ilvl="0" w:tplc="5D5CE8D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714133A"/>
    <w:multiLevelType w:val="hybridMultilevel"/>
    <w:tmpl w:val="A80C4D44"/>
    <w:lvl w:ilvl="0" w:tplc="DE445822">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815A0"/>
    <w:multiLevelType w:val="hybridMultilevel"/>
    <w:tmpl w:val="764E310E"/>
    <w:lvl w:ilvl="0" w:tplc="958A64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0B6532"/>
    <w:multiLevelType w:val="hybridMultilevel"/>
    <w:tmpl w:val="2F820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8D647C"/>
    <w:multiLevelType w:val="hybridMultilevel"/>
    <w:tmpl w:val="8CE600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3A50CD"/>
    <w:multiLevelType w:val="hybridMultilevel"/>
    <w:tmpl w:val="01EAB46A"/>
    <w:lvl w:ilvl="0" w:tplc="952ADA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AA441FA"/>
    <w:multiLevelType w:val="hybridMultilevel"/>
    <w:tmpl w:val="CE70507C"/>
    <w:lvl w:ilvl="0" w:tplc="077687A2">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1475A6"/>
    <w:multiLevelType w:val="hybridMultilevel"/>
    <w:tmpl w:val="DE6688DE"/>
    <w:lvl w:ilvl="0" w:tplc="14AA1D0C">
      <w:start w:val="1"/>
      <w:numFmt w:val="upp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10"/>
  </w:num>
  <w:num w:numId="4">
    <w:abstractNumId w:val="13"/>
  </w:num>
  <w:num w:numId="5">
    <w:abstractNumId w:val="16"/>
  </w:num>
  <w:num w:numId="6">
    <w:abstractNumId w:val="1"/>
  </w:num>
  <w:num w:numId="7">
    <w:abstractNumId w:val="12"/>
  </w:num>
  <w:num w:numId="8">
    <w:abstractNumId w:val="0"/>
  </w:num>
  <w:num w:numId="9">
    <w:abstractNumId w:val="6"/>
  </w:num>
  <w:num w:numId="10">
    <w:abstractNumId w:val="3"/>
  </w:num>
  <w:num w:numId="11">
    <w:abstractNumId w:val="9"/>
  </w:num>
  <w:num w:numId="12">
    <w:abstractNumId w:val="5"/>
  </w:num>
  <w:num w:numId="13">
    <w:abstractNumId w:val="17"/>
  </w:num>
  <w:num w:numId="14">
    <w:abstractNumId w:val="11"/>
  </w:num>
  <w:num w:numId="15">
    <w:abstractNumId w:val="7"/>
  </w:num>
  <w:num w:numId="16">
    <w:abstractNumId w:val="15"/>
  </w:num>
  <w:num w:numId="17">
    <w:abstractNumId w:val="2"/>
  </w:num>
  <w:num w:numId="18">
    <w:abstractNumId w:val="8"/>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11"/>
    <w:rsid w:val="00001E02"/>
    <w:rsid w:val="00035782"/>
    <w:rsid w:val="00071C32"/>
    <w:rsid w:val="000C11C3"/>
    <w:rsid w:val="0010283C"/>
    <w:rsid w:val="0012173D"/>
    <w:rsid w:val="00142715"/>
    <w:rsid w:val="00165002"/>
    <w:rsid w:val="00165A8E"/>
    <w:rsid w:val="00176091"/>
    <w:rsid w:val="00184B67"/>
    <w:rsid w:val="001867AF"/>
    <w:rsid w:val="001D4843"/>
    <w:rsid w:val="001E6F26"/>
    <w:rsid w:val="001F372A"/>
    <w:rsid w:val="00231B79"/>
    <w:rsid w:val="00237B1B"/>
    <w:rsid w:val="00262715"/>
    <w:rsid w:val="00270582"/>
    <w:rsid w:val="00271288"/>
    <w:rsid w:val="00284247"/>
    <w:rsid w:val="002D4D64"/>
    <w:rsid w:val="00306708"/>
    <w:rsid w:val="00356456"/>
    <w:rsid w:val="0037304B"/>
    <w:rsid w:val="00382CB6"/>
    <w:rsid w:val="003A6511"/>
    <w:rsid w:val="003C71D0"/>
    <w:rsid w:val="0040507E"/>
    <w:rsid w:val="004435CD"/>
    <w:rsid w:val="00494E59"/>
    <w:rsid w:val="004C2DCA"/>
    <w:rsid w:val="004E1335"/>
    <w:rsid w:val="00507F2A"/>
    <w:rsid w:val="005128CD"/>
    <w:rsid w:val="0053176D"/>
    <w:rsid w:val="005A23BC"/>
    <w:rsid w:val="005B4D00"/>
    <w:rsid w:val="005D4F78"/>
    <w:rsid w:val="005F07C0"/>
    <w:rsid w:val="0060348E"/>
    <w:rsid w:val="00643EE7"/>
    <w:rsid w:val="006506DD"/>
    <w:rsid w:val="006530FD"/>
    <w:rsid w:val="0067447D"/>
    <w:rsid w:val="006A0EEC"/>
    <w:rsid w:val="006A2446"/>
    <w:rsid w:val="006B6358"/>
    <w:rsid w:val="006C080A"/>
    <w:rsid w:val="006E3AFB"/>
    <w:rsid w:val="006F6ACE"/>
    <w:rsid w:val="00716D10"/>
    <w:rsid w:val="007429A9"/>
    <w:rsid w:val="00754CB2"/>
    <w:rsid w:val="007879BC"/>
    <w:rsid w:val="007E32D0"/>
    <w:rsid w:val="007F3DBA"/>
    <w:rsid w:val="008A08B5"/>
    <w:rsid w:val="008C6195"/>
    <w:rsid w:val="008D6FB7"/>
    <w:rsid w:val="009333D2"/>
    <w:rsid w:val="00934942"/>
    <w:rsid w:val="00967C41"/>
    <w:rsid w:val="00991E28"/>
    <w:rsid w:val="009A2C9F"/>
    <w:rsid w:val="009F3E5B"/>
    <w:rsid w:val="00A00041"/>
    <w:rsid w:val="00A2418D"/>
    <w:rsid w:val="00A67262"/>
    <w:rsid w:val="00A7468A"/>
    <w:rsid w:val="00A9153A"/>
    <w:rsid w:val="00A97EB8"/>
    <w:rsid w:val="00AB6885"/>
    <w:rsid w:val="00AC05FB"/>
    <w:rsid w:val="00B13A48"/>
    <w:rsid w:val="00B362B0"/>
    <w:rsid w:val="00B47774"/>
    <w:rsid w:val="00B65831"/>
    <w:rsid w:val="00B96A4B"/>
    <w:rsid w:val="00BB1235"/>
    <w:rsid w:val="00BF4207"/>
    <w:rsid w:val="00C65628"/>
    <w:rsid w:val="00C9286B"/>
    <w:rsid w:val="00CC2E3C"/>
    <w:rsid w:val="00CF05C0"/>
    <w:rsid w:val="00CF6FA3"/>
    <w:rsid w:val="00D03A09"/>
    <w:rsid w:val="00D14518"/>
    <w:rsid w:val="00D84869"/>
    <w:rsid w:val="00DC2FE8"/>
    <w:rsid w:val="00DF5E43"/>
    <w:rsid w:val="00E15EBC"/>
    <w:rsid w:val="00E20BA3"/>
    <w:rsid w:val="00E20E37"/>
    <w:rsid w:val="00E25A6F"/>
    <w:rsid w:val="00E47D48"/>
    <w:rsid w:val="00E57705"/>
    <w:rsid w:val="00EC6BDB"/>
    <w:rsid w:val="00F27D09"/>
    <w:rsid w:val="00F526BA"/>
    <w:rsid w:val="00F63CF3"/>
    <w:rsid w:val="00F813BB"/>
    <w:rsid w:val="00F8632A"/>
    <w:rsid w:val="00F940A2"/>
    <w:rsid w:val="00FA6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D6DC6348-7779-4357-88CE-78E87BE4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511"/>
    <w:pPr>
      <w:spacing w:after="0" w:line="240" w:lineRule="auto"/>
      <w:jc w:val="both"/>
    </w:pPr>
    <w:rPr>
      <w:rFonts w:ascii="Times New Roman" w:eastAsia="Times New Roman" w:hAnsi="Times New Roman" w:cs="Times New Roman"/>
      <w:bCs/>
      <w:iCs/>
      <w:sz w:val="20"/>
      <w:szCs w:val="20"/>
    </w:rPr>
  </w:style>
  <w:style w:type="paragraph" w:styleId="Heading1">
    <w:name w:val="heading 1"/>
    <w:basedOn w:val="Normal"/>
    <w:next w:val="Normal"/>
    <w:link w:val="Heading1Char"/>
    <w:qFormat/>
    <w:rsid w:val="003A6511"/>
    <w:pPr>
      <w:keepNext/>
      <w:keepLines/>
      <w:spacing w:before="480"/>
      <w:outlineLvl w:val="0"/>
    </w:pPr>
    <w:rPr>
      <w:rFonts w:asciiTheme="majorHAnsi" w:eastAsiaTheme="majorEastAsia" w:hAnsiTheme="majorHAnsi" w:cstheme="majorBidi"/>
      <w:b/>
      <w:color w:val="2E74B5" w:themeColor="accent1" w:themeShade="BF"/>
      <w:sz w:val="28"/>
      <w:szCs w:val="28"/>
    </w:rPr>
  </w:style>
  <w:style w:type="paragraph" w:styleId="Heading2">
    <w:name w:val="heading 2"/>
    <w:basedOn w:val="Normal"/>
    <w:next w:val="Normal"/>
    <w:link w:val="Heading2Char"/>
    <w:uiPriority w:val="9"/>
    <w:unhideWhenUsed/>
    <w:qFormat/>
    <w:rsid w:val="003A6511"/>
    <w:pPr>
      <w:keepNext/>
      <w:keepLines/>
      <w:spacing w:before="200"/>
      <w:outlineLvl w:val="1"/>
    </w:pPr>
    <w:rPr>
      <w:rFonts w:asciiTheme="majorHAnsi" w:eastAsiaTheme="majorEastAsia" w:hAnsiTheme="majorHAnsi" w:cstheme="majorBidi"/>
      <w:b/>
      <w:bCs w:val="0"/>
      <w:color w:val="5B9BD5" w:themeColor="accent1"/>
      <w:sz w:val="26"/>
      <w:szCs w:val="26"/>
    </w:rPr>
  </w:style>
  <w:style w:type="paragraph" w:styleId="Heading3">
    <w:name w:val="heading 3"/>
    <w:basedOn w:val="Normal"/>
    <w:next w:val="Normal"/>
    <w:link w:val="Heading3Char"/>
    <w:uiPriority w:val="9"/>
    <w:unhideWhenUsed/>
    <w:qFormat/>
    <w:rsid w:val="003A6511"/>
    <w:pPr>
      <w:keepNext/>
      <w:keepLines/>
      <w:spacing w:before="200"/>
      <w:outlineLvl w:val="2"/>
    </w:pPr>
    <w:rPr>
      <w:rFonts w:asciiTheme="majorHAnsi" w:eastAsiaTheme="majorEastAsia" w:hAnsiTheme="majorHAnsi" w:cstheme="majorBidi"/>
      <w:b/>
      <w:bCs w:val="0"/>
      <w:color w:val="5B9BD5" w:themeColor="accent1"/>
    </w:rPr>
  </w:style>
  <w:style w:type="paragraph" w:styleId="Heading4">
    <w:name w:val="heading 4"/>
    <w:basedOn w:val="Normal"/>
    <w:next w:val="NormalIndent"/>
    <w:link w:val="Heading4Char"/>
    <w:qFormat/>
    <w:rsid w:val="003A6511"/>
    <w:pPr>
      <w:ind w:left="360"/>
      <w:jc w:val="left"/>
      <w:outlineLvl w:val="3"/>
    </w:pPr>
    <w:rPr>
      <w:rFonts w:ascii="CG Times (W1)" w:hAnsi="CG Times (W1)"/>
      <w:bCs w:val="0"/>
      <w:iCs w:val="0"/>
      <w:sz w:val="22"/>
      <w:u w:val="single"/>
    </w:rPr>
  </w:style>
  <w:style w:type="paragraph" w:styleId="Heading5">
    <w:name w:val="heading 5"/>
    <w:basedOn w:val="Normal"/>
    <w:next w:val="NormalIndent"/>
    <w:link w:val="Heading5Char"/>
    <w:qFormat/>
    <w:rsid w:val="003A6511"/>
    <w:pPr>
      <w:ind w:left="720"/>
      <w:jc w:val="left"/>
      <w:outlineLvl w:val="4"/>
    </w:pPr>
    <w:rPr>
      <w:rFonts w:ascii="CG Times (W1)" w:hAnsi="CG Times (W1)"/>
      <w:b/>
      <w:bCs w:val="0"/>
      <w:iCs w:val="0"/>
    </w:rPr>
  </w:style>
  <w:style w:type="paragraph" w:styleId="Heading6">
    <w:name w:val="heading 6"/>
    <w:basedOn w:val="Normal"/>
    <w:next w:val="NormalIndent"/>
    <w:link w:val="Heading6Char"/>
    <w:qFormat/>
    <w:rsid w:val="003A6511"/>
    <w:pPr>
      <w:ind w:left="720"/>
      <w:jc w:val="left"/>
      <w:outlineLvl w:val="5"/>
    </w:pPr>
    <w:rPr>
      <w:rFonts w:ascii="CG Times (W1)" w:hAnsi="CG Times (W1)"/>
      <w:bCs w:val="0"/>
      <w:iCs w:val="0"/>
      <w:u w:val="single"/>
    </w:rPr>
  </w:style>
  <w:style w:type="paragraph" w:styleId="Heading7">
    <w:name w:val="heading 7"/>
    <w:basedOn w:val="Normal"/>
    <w:next w:val="NormalIndent"/>
    <w:link w:val="Heading7Char"/>
    <w:qFormat/>
    <w:rsid w:val="003A6511"/>
    <w:pPr>
      <w:ind w:left="720"/>
      <w:jc w:val="left"/>
      <w:outlineLvl w:val="6"/>
    </w:pPr>
    <w:rPr>
      <w:rFonts w:ascii="CG Times (W1)" w:hAnsi="CG Times (W1)"/>
      <w:bCs w:val="0"/>
      <w:i/>
      <w:iCs w:val="0"/>
    </w:rPr>
  </w:style>
  <w:style w:type="paragraph" w:styleId="Heading8">
    <w:name w:val="heading 8"/>
    <w:basedOn w:val="Normal"/>
    <w:next w:val="NormalIndent"/>
    <w:link w:val="Heading8Char"/>
    <w:qFormat/>
    <w:rsid w:val="003A6511"/>
    <w:pPr>
      <w:ind w:left="720"/>
      <w:jc w:val="left"/>
      <w:outlineLvl w:val="7"/>
    </w:pPr>
    <w:rPr>
      <w:rFonts w:ascii="CG Times (W1)" w:hAnsi="CG Times (W1)"/>
      <w:bCs w:val="0"/>
      <w:i/>
      <w:iCs w:val="0"/>
    </w:rPr>
  </w:style>
  <w:style w:type="paragraph" w:styleId="Heading9">
    <w:name w:val="heading 9"/>
    <w:basedOn w:val="Normal"/>
    <w:next w:val="NormalIndent"/>
    <w:link w:val="Heading9Char"/>
    <w:qFormat/>
    <w:rsid w:val="003A6511"/>
    <w:pPr>
      <w:ind w:left="720"/>
      <w:jc w:val="left"/>
      <w:outlineLvl w:val="8"/>
    </w:pPr>
    <w:rPr>
      <w:rFonts w:ascii="CG Times (W1)" w:hAnsi="CG Times (W1)"/>
      <w:bCs w:val="0"/>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511"/>
    <w:rPr>
      <w:rFonts w:asciiTheme="majorHAnsi" w:eastAsiaTheme="majorEastAsia" w:hAnsiTheme="majorHAnsi" w:cstheme="majorBidi"/>
      <w:b/>
      <w:bCs/>
      <w:iCs/>
      <w:color w:val="2E74B5" w:themeColor="accent1" w:themeShade="BF"/>
      <w:sz w:val="28"/>
      <w:szCs w:val="28"/>
    </w:rPr>
  </w:style>
  <w:style w:type="character" w:customStyle="1" w:styleId="Heading2Char">
    <w:name w:val="Heading 2 Char"/>
    <w:basedOn w:val="DefaultParagraphFont"/>
    <w:link w:val="Heading2"/>
    <w:uiPriority w:val="9"/>
    <w:rsid w:val="003A6511"/>
    <w:rPr>
      <w:rFonts w:asciiTheme="majorHAnsi" w:eastAsiaTheme="majorEastAsia" w:hAnsiTheme="majorHAnsi" w:cstheme="majorBidi"/>
      <w:b/>
      <w:iCs/>
      <w:color w:val="5B9BD5" w:themeColor="accent1"/>
      <w:sz w:val="26"/>
      <w:szCs w:val="26"/>
    </w:rPr>
  </w:style>
  <w:style w:type="character" w:customStyle="1" w:styleId="Heading3Char">
    <w:name w:val="Heading 3 Char"/>
    <w:basedOn w:val="DefaultParagraphFont"/>
    <w:link w:val="Heading3"/>
    <w:uiPriority w:val="9"/>
    <w:rsid w:val="003A6511"/>
    <w:rPr>
      <w:rFonts w:asciiTheme="majorHAnsi" w:eastAsiaTheme="majorEastAsia" w:hAnsiTheme="majorHAnsi" w:cstheme="majorBidi"/>
      <w:b/>
      <w:iCs/>
      <w:color w:val="5B9BD5" w:themeColor="accent1"/>
      <w:sz w:val="20"/>
      <w:szCs w:val="20"/>
    </w:rPr>
  </w:style>
  <w:style w:type="character" w:customStyle="1" w:styleId="Heading4Char">
    <w:name w:val="Heading 4 Char"/>
    <w:basedOn w:val="DefaultParagraphFont"/>
    <w:link w:val="Heading4"/>
    <w:rsid w:val="003A6511"/>
    <w:rPr>
      <w:rFonts w:ascii="CG Times (W1)" w:eastAsia="Times New Roman" w:hAnsi="CG Times (W1)" w:cs="Times New Roman"/>
      <w:szCs w:val="20"/>
      <w:u w:val="single"/>
    </w:rPr>
  </w:style>
  <w:style w:type="character" w:customStyle="1" w:styleId="Heading5Char">
    <w:name w:val="Heading 5 Char"/>
    <w:basedOn w:val="DefaultParagraphFont"/>
    <w:link w:val="Heading5"/>
    <w:rsid w:val="003A6511"/>
    <w:rPr>
      <w:rFonts w:ascii="CG Times (W1)" w:eastAsia="Times New Roman" w:hAnsi="CG Times (W1)" w:cs="Times New Roman"/>
      <w:b/>
      <w:sz w:val="20"/>
      <w:szCs w:val="20"/>
    </w:rPr>
  </w:style>
  <w:style w:type="character" w:customStyle="1" w:styleId="Heading6Char">
    <w:name w:val="Heading 6 Char"/>
    <w:basedOn w:val="DefaultParagraphFont"/>
    <w:link w:val="Heading6"/>
    <w:rsid w:val="003A6511"/>
    <w:rPr>
      <w:rFonts w:ascii="CG Times (W1)" w:eastAsia="Times New Roman" w:hAnsi="CG Times (W1)" w:cs="Times New Roman"/>
      <w:sz w:val="20"/>
      <w:szCs w:val="20"/>
      <w:u w:val="single"/>
    </w:rPr>
  </w:style>
  <w:style w:type="character" w:customStyle="1" w:styleId="Heading7Char">
    <w:name w:val="Heading 7 Char"/>
    <w:basedOn w:val="DefaultParagraphFont"/>
    <w:link w:val="Heading7"/>
    <w:rsid w:val="003A6511"/>
    <w:rPr>
      <w:rFonts w:ascii="CG Times (W1)" w:eastAsia="Times New Roman" w:hAnsi="CG Times (W1)" w:cs="Times New Roman"/>
      <w:i/>
      <w:sz w:val="20"/>
      <w:szCs w:val="20"/>
    </w:rPr>
  </w:style>
  <w:style w:type="character" w:customStyle="1" w:styleId="Heading8Char">
    <w:name w:val="Heading 8 Char"/>
    <w:basedOn w:val="DefaultParagraphFont"/>
    <w:link w:val="Heading8"/>
    <w:rsid w:val="003A6511"/>
    <w:rPr>
      <w:rFonts w:ascii="CG Times (W1)" w:eastAsia="Times New Roman" w:hAnsi="CG Times (W1)" w:cs="Times New Roman"/>
      <w:i/>
      <w:sz w:val="20"/>
      <w:szCs w:val="20"/>
    </w:rPr>
  </w:style>
  <w:style w:type="character" w:customStyle="1" w:styleId="Heading9Char">
    <w:name w:val="Heading 9 Char"/>
    <w:basedOn w:val="DefaultParagraphFont"/>
    <w:link w:val="Heading9"/>
    <w:rsid w:val="003A6511"/>
    <w:rPr>
      <w:rFonts w:ascii="CG Times (W1)" w:eastAsia="Times New Roman" w:hAnsi="CG Times (W1)" w:cs="Times New Roman"/>
      <w:i/>
      <w:sz w:val="20"/>
      <w:szCs w:val="20"/>
    </w:rPr>
  </w:style>
  <w:style w:type="paragraph" w:styleId="NormalIndent">
    <w:name w:val="Normal Indent"/>
    <w:basedOn w:val="Normal"/>
    <w:rsid w:val="003A6511"/>
    <w:pPr>
      <w:ind w:left="720"/>
      <w:jc w:val="left"/>
    </w:pPr>
    <w:rPr>
      <w:bCs w:val="0"/>
      <w:iCs w:val="0"/>
    </w:rPr>
  </w:style>
  <w:style w:type="paragraph" w:styleId="ListParagraph">
    <w:name w:val="List Paragraph"/>
    <w:basedOn w:val="Normal"/>
    <w:uiPriority w:val="34"/>
    <w:qFormat/>
    <w:rsid w:val="003A6511"/>
    <w:pPr>
      <w:ind w:left="720"/>
      <w:contextualSpacing/>
    </w:pPr>
  </w:style>
  <w:style w:type="paragraph" w:customStyle="1" w:styleId="dateline">
    <w:name w:val="dateline"/>
    <w:basedOn w:val="Normal"/>
    <w:rsid w:val="003A6511"/>
    <w:pPr>
      <w:spacing w:before="100" w:beforeAutospacing="1" w:after="100" w:afterAutospacing="1"/>
      <w:jc w:val="left"/>
    </w:pPr>
    <w:rPr>
      <w:bCs w:val="0"/>
      <w:iCs w:val="0"/>
      <w:sz w:val="24"/>
      <w:szCs w:val="24"/>
    </w:rPr>
  </w:style>
  <w:style w:type="paragraph" w:customStyle="1" w:styleId="deck">
    <w:name w:val="deck"/>
    <w:basedOn w:val="Normal"/>
    <w:rsid w:val="003A6511"/>
    <w:pPr>
      <w:spacing w:before="100" w:beforeAutospacing="1" w:after="100" w:afterAutospacing="1"/>
      <w:jc w:val="left"/>
    </w:pPr>
    <w:rPr>
      <w:bCs w:val="0"/>
      <w:iCs w:val="0"/>
      <w:sz w:val="24"/>
      <w:szCs w:val="24"/>
    </w:rPr>
  </w:style>
  <w:style w:type="paragraph" w:customStyle="1" w:styleId="byline">
    <w:name w:val="byline"/>
    <w:basedOn w:val="Normal"/>
    <w:rsid w:val="003A6511"/>
    <w:pPr>
      <w:spacing w:before="100" w:beforeAutospacing="1" w:after="100" w:afterAutospacing="1"/>
      <w:jc w:val="left"/>
    </w:pPr>
    <w:rPr>
      <w:bCs w:val="0"/>
      <w:iCs w:val="0"/>
      <w:sz w:val="24"/>
      <w:szCs w:val="24"/>
    </w:rPr>
  </w:style>
  <w:style w:type="paragraph" w:customStyle="1" w:styleId="Heading20">
    <w:name w:val="Heading 2+"/>
    <w:basedOn w:val="Normal"/>
    <w:rsid w:val="003A6511"/>
    <w:pPr>
      <w:ind w:left="1440" w:hanging="720"/>
    </w:pPr>
    <w:rPr>
      <w:snapToGrid w:val="0"/>
      <w:sz w:val="22"/>
      <w:szCs w:val="22"/>
    </w:rPr>
  </w:style>
  <w:style w:type="paragraph" w:styleId="BalloonText">
    <w:name w:val="Balloon Text"/>
    <w:basedOn w:val="Normal"/>
    <w:link w:val="BalloonTextChar"/>
    <w:uiPriority w:val="99"/>
    <w:unhideWhenUsed/>
    <w:rsid w:val="003A6511"/>
    <w:rPr>
      <w:rFonts w:ascii="Tahoma" w:hAnsi="Tahoma" w:cs="Tahoma"/>
      <w:sz w:val="16"/>
      <w:szCs w:val="16"/>
    </w:rPr>
  </w:style>
  <w:style w:type="character" w:customStyle="1" w:styleId="BalloonTextChar">
    <w:name w:val="Balloon Text Char"/>
    <w:basedOn w:val="DefaultParagraphFont"/>
    <w:link w:val="BalloonText"/>
    <w:uiPriority w:val="99"/>
    <w:rsid w:val="003A6511"/>
    <w:rPr>
      <w:rFonts w:ascii="Tahoma" w:eastAsia="Times New Roman" w:hAnsi="Tahoma" w:cs="Tahoma"/>
      <w:bCs/>
      <w:iCs/>
      <w:sz w:val="16"/>
      <w:szCs w:val="16"/>
    </w:rPr>
  </w:style>
  <w:style w:type="paragraph" w:styleId="Header">
    <w:name w:val="header"/>
    <w:basedOn w:val="Normal"/>
    <w:link w:val="HeaderChar"/>
    <w:uiPriority w:val="99"/>
    <w:unhideWhenUsed/>
    <w:rsid w:val="003A6511"/>
    <w:pPr>
      <w:tabs>
        <w:tab w:val="center" w:pos="4680"/>
        <w:tab w:val="right" w:pos="9360"/>
      </w:tabs>
    </w:pPr>
  </w:style>
  <w:style w:type="character" w:customStyle="1" w:styleId="HeaderChar">
    <w:name w:val="Header Char"/>
    <w:basedOn w:val="DefaultParagraphFont"/>
    <w:link w:val="Header"/>
    <w:uiPriority w:val="99"/>
    <w:rsid w:val="003A6511"/>
    <w:rPr>
      <w:rFonts w:ascii="Times New Roman" w:eastAsia="Times New Roman" w:hAnsi="Times New Roman" w:cs="Times New Roman"/>
      <w:bCs/>
      <w:iCs/>
      <w:sz w:val="20"/>
      <w:szCs w:val="20"/>
    </w:rPr>
  </w:style>
  <w:style w:type="paragraph" w:styleId="Footer">
    <w:name w:val="footer"/>
    <w:basedOn w:val="Normal"/>
    <w:link w:val="FooterChar"/>
    <w:uiPriority w:val="99"/>
    <w:unhideWhenUsed/>
    <w:rsid w:val="003A6511"/>
    <w:pPr>
      <w:tabs>
        <w:tab w:val="center" w:pos="4680"/>
        <w:tab w:val="right" w:pos="9360"/>
      </w:tabs>
    </w:pPr>
  </w:style>
  <w:style w:type="character" w:customStyle="1" w:styleId="FooterChar">
    <w:name w:val="Footer Char"/>
    <w:basedOn w:val="DefaultParagraphFont"/>
    <w:link w:val="Footer"/>
    <w:uiPriority w:val="99"/>
    <w:rsid w:val="003A6511"/>
    <w:rPr>
      <w:rFonts w:ascii="Times New Roman" w:eastAsia="Times New Roman" w:hAnsi="Times New Roman" w:cs="Times New Roman"/>
      <w:bCs/>
      <w:iCs/>
      <w:sz w:val="20"/>
      <w:szCs w:val="20"/>
    </w:rPr>
  </w:style>
  <w:style w:type="character" w:styleId="Hyperlink">
    <w:name w:val="Hyperlink"/>
    <w:basedOn w:val="DefaultParagraphFont"/>
    <w:uiPriority w:val="99"/>
    <w:semiHidden/>
    <w:unhideWhenUsed/>
    <w:rsid w:val="003A6511"/>
    <w:rPr>
      <w:color w:val="666666"/>
      <w:u w:val="single"/>
      <w:bdr w:val="none" w:sz="0" w:space="0" w:color="auto" w:frame="1"/>
    </w:rPr>
  </w:style>
  <w:style w:type="paragraph" w:customStyle="1" w:styleId="caption1">
    <w:name w:val="caption1"/>
    <w:basedOn w:val="Normal"/>
    <w:rsid w:val="003A6511"/>
    <w:pPr>
      <w:spacing w:after="360" w:line="225" w:lineRule="atLeast"/>
      <w:jc w:val="left"/>
    </w:pPr>
    <w:rPr>
      <w:rFonts w:ascii="Arial" w:hAnsi="Arial" w:cs="Arial"/>
      <w:bCs w:val="0"/>
      <w:iCs w:val="0"/>
      <w:sz w:val="15"/>
      <w:szCs w:val="15"/>
    </w:rPr>
  </w:style>
  <w:style w:type="paragraph" w:customStyle="1" w:styleId="pagination1">
    <w:name w:val="pagination1"/>
    <w:basedOn w:val="Normal"/>
    <w:rsid w:val="003A6511"/>
    <w:pPr>
      <w:spacing w:after="240" w:line="225" w:lineRule="atLeast"/>
      <w:jc w:val="right"/>
    </w:pPr>
    <w:rPr>
      <w:bCs w:val="0"/>
      <w:iCs w:val="0"/>
    </w:rPr>
  </w:style>
  <w:style w:type="character" w:styleId="Strong">
    <w:name w:val="Strong"/>
    <w:basedOn w:val="DefaultParagraphFont"/>
    <w:uiPriority w:val="22"/>
    <w:qFormat/>
    <w:rsid w:val="003A6511"/>
    <w:rPr>
      <w:b/>
      <w:bCs/>
    </w:rPr>
  </w:style>
  <w:style w:type="paragraph" w:styleId="NormalWeb">
    <w:name w:val="Normal (Web)"/>
    <w:basedOn w:val="Normal"/>
    <w:uiPriority w:val="99"/>
    <w:unhideWhenUsed/>
    <w:rsid w:val="003A6511"/>
    <w:pPr>
      <w:spacing w:before="100" w:beforeAutospacing="1" w:after="100" w:afterAutospacing="1"/>
      <w:jc w:val="left"/>
    </w:pPr>
    <w:rPr>
      <w:bCs w:val="0"/>
      <w:iCs w:val="0"/>
      <w:sz w:val="24"/>
      <w:szCs w:val="24"/>
    </w:rPr>
  </w:style>
  <w:style w:type="character" w:styleId="Emphasis">
    <w:name w:val="Emphasis"/>
    <w:basedOn w:val="DefaultParagraphFont"/>
    <w:uiPriority w:val="20"/>
    <w:qFormat/>
    <w:rsid w:val="003A6511"/>
    <w:rPr>
      <w:i/>
      <w:iCs/>
    </w:rPr>
  </w:style>
  <w:style w:type="character" w:customStyle="1" w:styleId="documentbody1">
    <w:name w:val="documentbody1"/>
    <w:basedOn w:val="DefaultParagraphFont"/>
    <w:rsid w:val="003A6511"/>
    <w:rPr>
      <w:rFonts w:ascii="Verdana" w:hAnsi="Verdana" w:hint="default"/>
      <w:sz w:val="19"/>
      <w:szCs w:val="19"/>
    </w:rPr>
  </w:style>
  <w:style w:type="paragraph" w:customStyle="1" w:styleId="Default">
    <w:name w:val="Default"/>
    <w:rsid w:val="003A6511"/>
    <w:pPr>
      <w:autoSpaceDE w:val="0"/>
      <w:autoSpaceDN w:val="0"/>
      <w:adjustRightInd w:val="0"/>
      <w:spacing w:after="0" w:line="240" w:lineRule="auto"/>
      <w:jc w:val="both"/>
    </w:pPr>
    <w:rPr>
      <w:rFonts w:ascii="Trade Gothic LT Std" w:hAnsi="Trade Gothic LT Std" w:cs="Trade Gothic LT Std"/>
      <w:color w:val="000000"/>
      <w:sz w:val="24"/>
      <w:szCs w:val="24"/>
    </w:rPr>
  </w:style>
  <w:style w:type="character" w:customStyle="1" w:styleId="TXTH1">
    <w:name w:val="TXTH1"/>
    <w:uiPriority w:val="99"/>
    <w:rsid w:val="003A6511"/>
  </w:style>
  <w:style w:type="character" w:customStyle="1" w:styleId="CHB">
    <w:name w:val="CHB"/>
    <w:uiPriority w:val="99"/>
    <w:rsid w:val="003A6511"/>
    <w:rPr>
      <w:b/>
    </w:rPr>
  </w:style>
  <w:style w:type="character" w:styleId="PlaceholderText">
    <w:name w:val="Placeholder Text"/>
    <w:basedOn w:val="DefaultParagraphFont"/>
    <w:uiPriority w:val="99"/>
    <w:semiHidden/>
    <w:rsid w:val="003A6511"/>
    <w:rPr>
      <w:color w:val="808080"/>
    </w:rPr>
  </w:style>
  <w:style w:type="character" w:customStyle="1" w:styleId="asset">
    <w:name w:val="asset"/>
    <w:basedOn w:val="DefaultParagraphFont"/>
    <w:rsid w:val="003A6511"/>
    <w:rPr>
      <w:rFonts w:ascii="Trebuchet MS" w:hAnsi="Trebuchet MS" w:cs="Arial" w:hint="default"/>
      <w:b w:val="0"/>
      <w:bCs w:val="0"/>
      <w:color w:val="000000"/>
      <w:sz w:val="21"/>
      <w:szCs w:val="21"/>
    </w:rPr>
  </w:style>
  <w:style w:type="character" w:styleId="PageNumber">
    <w:name w:val="page number"/>
    <w:basedOn w:val="DefaultParagraphFont"/>
    <w:rsid w:val="003A6511"/>
  </w:style>
  <w:style w:type="paragraph" w:styleId="PlainText">
    <w:name w:val="Plain Text"/>
    <w:basedOn w:val="Normal"/>
    <w:link w:val="PlainTextChar"/>
    <w:uiPriority w:val="99"/>
    <w:unhideWhenUsed/>
    <w:rsid w:val="003A6511"/>
    <w:pPr>
      <w:jc w:val="left"/>
    </w:pPr>
    <w:rPr>
      <w:rFonts w:ascii="Calibri" w:eastAsiaTheme="minorHAnsi" w:hAnsi="Calibri" w:cstheme="minorBidi"/>
      <w:bCs w:val="0"/>
      <w:iCs w:val="0"/>
      <w:sz w:val="22"/>
      <w:szCs w:val="21"/>
    </w:rPr>
  </w:style>
  <w:style w:type="character" w:customStyle="1" w:styleId="PlainTextChar">
    <w:name w:val="Plain Text Char"/>
    <w:basedOn w:val="DefaultParagraphFont"/>
    <w:link w:val="PlainText"/>
    <w:uiPriority w:val="99"/>
    <w:rsid w:val="003A6511"/>
    <w:rPr>
      <w:rFonts w:ascii="Calibri" w:hAnsi="Calibri"/>
      <w:szCs w:val="21"/>
    </w:rPr>
  </w:style>
  <w:style w:type="paragraph" w:styleId="BodyText">
    <w:name w:val="Body Text"/>
    <w:basedOn w:val="Normal"/>
    <w:link w:val="BodyTextChar"/>
    <w:uiPriority w:val="1"/>
    <w:qFormat/>
    <w:rsid w:val="003A6511"/>
    <w:pPr>
      <w:widowControl w:val="0"/>
      <w:ind w:left="687"/>
      <w:jc w:val="left"/>
    </w:pPr>
    <w:rPr>
      <w:rFonts w:cstheme="minorBidi"/>
      <w:bCs w:val="0"/>
      <w:iCs w:val="0"/>
      <w:sz w:val="22"/>
      <w:szCs w:val="22"/>
    </w:rPr>
  </w:style>
  <w:style w:type="character" w:customStyle="1" w:styleId="BodyTextChar">
    <w:name w:val="Body Text Char"/>
    <w:basedOn w:val="DefaultParagraphFont"/>
    <w:link w:val="BodyText"/>
    <w:uiPriority w:val="1"/>
    <w:rsid w:val="003A6511"/>
    <w:rPr>
      <w:rFonts w:ascii="Times New Roman" w:eastAsia="Times New Roman" w:hAnsi="Times New Roman"/>
    </w:rPr>
  </w:style>
  <w:style w:type="paragraph" w:customStyle="1" w:styleId="1">
    <w:name w:val="1"/>
    <w:basedOn w:val="Normal"/>
    <w:rsid w:val="003A6511"/>
    <w:pPr>
      <w:tabs>
        <w:tab w:val="left" w:pos="450"/>
        <w:tab w:val="left" w:pos="1350"/>
      </w:tabs>
      <w:spacing w:line="240" w:lineRule="atLeast"/>
      <w:ind w:left="900" w:hanging="450"/>
    </w:pPr>
    <w:rPr>
      <w:bCs w:val="0"/>
      <w:iCs w:val="0"/>
      <w:sz w:val="22"/>
    </w:rPr>
  </w:style>
  <w:style w:type="character" w:customStyle="1" w:styleId="enumbell1">
    <w:name w:val="enumbell1"/>
    <w:basedOn w:val="DefaultParagraphFont"/>
    <w:rsid w:val="003A6511"/>
    <w:rPr>
      <w:b/>
      <w:bCs/>
    </w:rPr>
  </w:style>
  <w:style w:type="character" w:customStyle="1" w:styleId="ptext-18">
    <w:name w:val="ptext-18"/>
    <w:basedOn w:val="DefaultParagraphFont"/>
    <w:rsid w:val="003A6511"/>
  </w:style>
  <w:style w:type="paragraph" w:styleId="FootnoteText">
    <w:name w:val="footnote text"/>
    <w:basedOn w:val="Default"/>
    <w:next w:val="Default"/>
    <w:link w:val="FootnoteTextChar"/>
    <w:uiPriority w:val="99"/>
    <w:rsid w:val="003A6511"/>
    <w:rPr>
      <w:rFonts w:ascii="Arial" w:hAnsi="Arial" w:cs="Arial"/>
      <w:color w:val="auto"/>
    </w:rPr>
  </w:style>
  <w:style w:type="character" w:customStyle="1" w:styleId="FootnoteTextChar">
    <w:name w:val="Footnote Text Char"/>
    <w:basedOn w:val="DefaultParagraphFont"/>
    <w:link w:val="FootnoteText"/>
    <w:uiPriority w:val="99"/>
    <w:rsid w:val="003A6511"/>
    <w:rPr>
      <w:rFonts w:ascii="Arial" w:hAnsi="Arial" w:cs="Arial"/>
      <w:sz w:val="24"/>
      <w:szCs w:val="24"/>
    </w:rPr>
  </w:style>
  <w:style w:type="paragraph" w:styleId="BlockText">
    <w:name w:val="Block Text"/>
    <w:basedOn w:val="Normal"/>
    <w:rsid w:val="003A6511"/>
    <w:pPr>
      <w:tabs>
        <w:tab w:val="left" w:pos="450"/>
        <w:tab w:val="left" w:pos="900"/>
        <w:tab w:val="left" w:pos="1152"/>
        <w:tab w:val="left" w:pos="1728"/>
        <w:tab w:val="left" w:pos="7200"/>
        <w:tab w:val="left" w:pos="7830"/>
      </w:tabs>
      <w:spacing w:line="240" w:lineRule="atLeast"/>
      <w:ind w:left="810" w:right="18"/>
    </w:pPr>
    <w:rPr>
      <w:bCs w:val="0"/>
      <w:iCs w:val="0"/>
      <w:sz w:val="21"/>
    </w:rPr>
  </w:style>
  <w:style w:type="paragraph" w:customStyle="1" w:styleId="lbexhangwithmargin">
    <w:name w:val="lbexhangwithmargin"/>
    <w:basedOn w:val="Normal"/>
    <w:rsid w:val="003A6511"/>
    <w:pPr>
      <w:spacing w:before="100" w:beforeAutospacing="1" w:after="100" w:afterAutospacing="1"/>
      <w:ind w:left="480" w:hanging="480"/>
      <w:jc w:val="left"/>
    </w:pPr>
    <w:rPr>
      <w:bCs w:val="0"/>
      <w:iCs w:val="0"/>
      <w:sz w:val="24"/>
      <w:szCs w:val="24"/>
    </w:rPr>
  </w:style>
  <w:style w:type="paragraph" w:customStyle="1" w:styleId="lbexindent">
    <w:name w:val="lbexindent"/>
    <w:basedOn w:val="Normal"/>
    <w:rsid w:val="003A6511"/>
    <w:pPr>
      <w:spacing w:before="100" w:beforeAutospacing="1" w:after="100" w:afterAutospacing="1"/>
      <w:ind w:firstLine="480"/>
      <w:jc w:val="left"/>
    </w:pPr>
    <w:rPr>
      <w:bCs w:val="0"/>
      <w:iCs w:val="0"/>
      <w:sz w:val="24"/>
      <w:szCs w:val="24"/>
    </w:rPr>
  </w:style>
  <w:style w:type="character" w:customStyle="1" w:styleId="lbexsectionlevelolc1">
    <w:name w:val="lbexsectionlevelolc1"/>
    <w:basedOn w:val="DefaultParagraphFont"/>
    <w:rsid w:val="003A6511"/>
    <w:rPr>
      <w:b/>
      <w:bCs/>
      <w:sz w:val="24"/>
      <w:szCs w:val="24"/>
    </w:rPr>
  </w:style>
  <w:style w:type="character" w:customStyle="1" w:styleId="lbexallcap1">
    <w:name w:val="lbexallcap1"/>
    <w:basedOn w:val="DefaultParagraphFont"/>
    <w:rsid w:val="003A6511"/>
    <w:rPr>
      <w:caps/>
    </w:rPr>
  </w:style>
  <w:style w:type="character" w:customStyle="1" w:styleId="lbexsectionlevelolcnuclear1">
    <w:name w:val="lbexsectionlevelolcnuclear1"/>
    <w:basedOn w:val="DefaultParagraphFont"/>
    <w:rsid w:val="003A6511"/>
    <w:rPr>
      <w:smallCaps/>
      <w:spacing w:val="15"/>
    </w:rPr>
  </w:style>
  <w:style w:type="character" w:customStyle="1" w:styleId="cosmallcaps3">
    <w:name w:val="co_smallcaps3"/>
    <w:basedOn w:val="DefaultParagraphFont"/>
    <w:rsid w:val="003A6511"/>
  </w:style>
  <w:style w:type="character" w:customStyle="1" w:styleId="costarpage2">
    <w:name w:val="co_starpage2"/>
    <w:basedOn w:val="DefaultParagraphFont"/>
    <w:rsid w:val="003A6511"/>
  </w:style>
  <w:style w:type="character" w:customStyle="1" w:styleId="costarpage3">
    <w:name w:val="co_starpage3"/>
    <w:basedOn w:val="DefaultParagraphFont"/>
    <w:rsid w:val="003A6511"/>
  </w:style>
  <w:style w:type="character" w:customStyle="1" w:styleId="sectionnumber">
    <w:name w:val="sectionnumber"/>
    <w:basedOn w:val="DefaultParagraphFont"/>
    <w:rsid w:val="003A6511"/>
  </w:style>
  <w:style w:type="character" w:customStyle="1" w:styleId="catchlinetext">
    <w:name w:val="catchlinetext"/>
    <w:basedOn w:val="DefaultParagraphFont"/>
    <w:rsid w:val="003A6511"/>
  </w:style>
  <w:style w:type="character" w:customStyle="1" w:styleId="emdash">
    <w:name w:val="emdash"/>
    <w:basedOn w:val="DefaultParagraphFont"/>
    <w:rsid w:val="003A6511"/>
  </w:style>
  <w:style w:type="character" w:customStyle="1" w:styleId="text">
    <w:name w:val="text"/>
    <w:basedOn w:val="DefaultParagraphFont"/>
    <w:rsid w:val="003A6511"/>
  </w:style>
  <w:style w:type="paragraph" w:customStyle="1" w:styleId="aBase">
    <w:name w:val="aBase"/>
    <w:basedOn w:val="Normal"/>
    <w:rsid w:val="003A6511"/>
    <w:rPr>
      <w:bCs w:val="0"/>
      <w:iCs w:val="0"/>
      <w:sz w:val="24"/>
      <w:szCs w:val="24"/>
    </w:rPr>
  </w:style>
  <w:style w:type="paragraph" w:customStyle="1" w:styleId="aMargin1">
    <w:name w:val="aMargin1"/>
    <w:basedOn w:val="Normal"/>
    <w:rsid w:val="003A6511"/>
    <w:pPr>
      <w:ind w:firstLine="360"/>
    </w:pPr>
    <w:rPr>
      <w:bCs w:val="0"/>
      <w:iCs w:val="0"/>
      <w:sz w:val="24"/>
      <w:szCs w:val="24"/>
    </w:rPr>
  </w:style>
  <w:style w:type="paragraph" w:customStyle="1" w:styleId="aSection">
    <w:name w:val="aSection"/>
    <w:basedOn w:val="Normal"/>
    <w:rsid w:val="003A6511"/>
    <w:pPr>
      <w:ind w:left="1080" w:hanging="1080"/>
    </w:pPr>
    <w:rPr>
      <w:b/>
      <w:iCs w:val="0"/>
      <w:sz w:val="24"/>
      <w:szCs w:val="24"/>
    </w:rPr>
  </w:style>
  <w:style w:type="character" w:customStyle="1" w:styleId="sectionbody">
    <w:name w:val="sectionbody"/>
    <w:basedOn w:val="DefaultParagraphFont"/>
    <w:rsid w:val="003A6511"/>
  </w:style>
  <w:style w:type="character" w:customStyle="1" w:styleId="number">
    <w:name w:val="number"/>
    <w:basedOn w:val="DefaultParagraphFont"/>
    <w:rsid w:val="003A6511"/>
  </w:style>
  <w:style w:type="paragraph" w:customStyle="1" w:styleId="IndentA">
    <w:name w:val="IndentA"/>
    <w:basedOn w:val="Normal"/>
    <w:rsid w:val="003A6511"/>
    <w:pPr>
      <w:tabs>
        <w:tab w:val="left" w:pos="2160"/>
        <w:tab w:val="left" w:pos="2700"/>
      </w:tabs>
      <w:spacing w:line="240" w:lineRule="atLeast"/>
      <w:ind w:left="540" w:hanging="540"/>
    </w:pPr>
    <w:rPr>
      <w:bCs w:val="0"/>
      <w:iCs w:val="0"/>
      <w:sz w:val="24"/>
    </w:rPr>
  </w:style>
  <w:style w:type="paragraph" w:customStyle="1" w:styleId="Indent1">
    <w:name w:val="Indent1"/>
    <w:basedOn w:val="Normal"/>
    <w:rsid w:val="003A6511"/>
    <w:pPr>
      <w:tabs>
        <w:tab w:val="left" w:pos="0"/>
        <w:tab w:val="left" w:pos="540"/>
        <w:tab w:val="left" w:pos="1080"/>
        <w:tab w:val="left" w:pos="1620"/>
        <w:tab w:val="left" w:pos="2160"/>
        <w:tab w:val="left" w:pos="2700"/>
      </w:tabs>
      <w:spacing w:line="240" w:lineRule="atLeast"/>
      <w:ind w:left="1080" w:hanging="540"/>
    </w:pPr>
    <w:rPr>
      <w:bCs w:val="0"/>
      <w:iCs w:val="0"/>
      <w:sz w:val="24"/>
    </w:rPr>
  </w:style>
  <w:style w:type="character" w:customStyle="1" w:styleId="num2">
    <w:name w:val="num2"/>
    <w:basedOn w:val="DefaultParagraphFont"/>
    <w:rsid w:val="003A6511"/>
    <w:rPr>
      <w:b/>
      <w:bCs/>
      <w:sz w:val="20"/>
      <w:szCs w:val="20"/>
    </w:rPr>
  </w:style>
  <w:style w:type="character" w:customStyle="1" w:styleId="heading21">
    <w:name w:val="heading2"/>
    <w:basedOn w:val="DefaultParagraphFont"/>
    <w:rsid w:val="003A6511"/>
    <w:rPr>
      <w:b/>
      <w:bCs/>
      <w:sz w:val="20"/>
      <w:szCs w:val="20"/>
    </w:rPr>
  </w:style>
  <w:style w:type="character" w:customStyle="1" w:styleId="chapeau">
    <w:name w:val="chapeau"/>
    <w:basedOn w:val="DefaultParagraphFont"/>
    <w:rsid w:val="003A6511"/>
    <w:rPr>
      <w:b w:val="0"/>
      <w:bCs w:val="0"/>
      <w:sz w:val="20"/>
      <w:szCs w:val="20"/>
    </w:rPr>
  </w:style>
  <w:style w:type="character" w:customStyle="1" w:styleId="f">
    <w:name w:val="f"/>
    <w:basedOn w:val="DefaultParagraphFont"/>
    <w:rsid w:val="003A6511"/>
  </w:style>
  <w:style w:type="character" w:customStyle="1" w:styleId="CommentTextChar">
    <w:name w:val="Comment Text Char"/>
    <w:basedOn w:val="DefaultParagraphFont"/>
    <w:link w:val="CommentText"/>
    <w:semiHidden/>
    <w:rsid w:val="003A6511"/>
    <w:rPr>
      <w:rFonts w:ascii="Times New Roman" w:eastAsia="Times New Roman" w:hAnsi="Times New Roman" w:cs="Times New Roman"/>
      <w:sz w:val="20"/>
      <w:szCs w:val="20"/>
    </w:rPr>
  </w:style>
  <w:style w:type="paragraph" w:styleId="CommentText">
    <w:name w:val="annotation text"/>
    <w:basedOn w:val="Normal"/>
    <w:link w:val="CommentTextChar"/>
    <w:semiHidden/>
    <w:rsid w:val="003A6511"/>
    <w:pPr>
      <w:jc w:val="left"/>
    </w:pPr>
    <w:rPr>
      <w:bCs w:val="0"/>
      <w:iCs w:val="0"/>
    </w:rPr>
  </w:style>
  <w:style w:type="character" w:customStyle="1" w:styleId="CommentTextChar1">
    <w:name w:val="Comment Text Char1"/>
    <w:basedOn w:val="DefaultParagraphFont"/>
    <w:uiPriority w:val="99"/>
    <w:semiHidden/>
    <w:rsid w:val="003A6511"/>
    <w:rPr>
      <w:rFonts w:ascii="Times New Roman" w:eastAsia="Times New Roman" w:hAnsi="Times New Roman" w:cs="Times New Roman"/>
      <w:bCs/>
      <w:iCs/>
      <w:sz w:val="20"/>
      <w:szCs w:val="20"/>
    </w:rPr>
  </w:style>
  <w:style w:type="paragraph" w:styleId="TOC1">
    <w:name w:val="toc 1"/>
    <w:basedOn w:val="Normal"/>
    <w:next w:val="Normal"/>
    <w:semiHidden/>
    <w:rsid w:val="003A6511"/>
    <w:pPr>
      <w:tabs>
        <w:tab w:val="left" w:leader="dot" w:pos="8280"/>
        <w:tab w:val="right" w:pos="8640"/>
      </w:tabs>
      <w:ind w:right="720"/>
      <w:jc w:val="left"/>
    </w:pPr>
    <w:rPr>
      <w:bCs w:val="0"/>
      <w:iCs w:val="0"/>
    </w:rPr>
  </w:style>
  <w:style w:type="paragraph" w:styleId="Index1">
    <w:name w:val="index 1"/>
    <w:basedOn w:val="Normal"/>
    <w:next w:val="Normal"/>
    <w:semiHidden/>
    <w:rsid w:val="003A6511"/>
    <w:pPr>
      <w:jc w:val="left"/>
    </w:pPr>
    <w:rPr>
      <w:bCs w:val="0"/>
      <w:iCs w:val="0"/>
    </w:rPr>
  </w:style>
  <w:style w:type="paragraph" w:customStyle="1" w:styleId="Normal10">
    <w:name w:val="Normal10"/>
    <w:basedOn w:val="Normal"/>
    <w:rsid w:val="003A6511"/>
    <w:pPr>
      <w:tabs>
        <w:tab w:val="left" w:pos="540"/>
        <w:tab w:val="left" w:pos="1080"/>
        <w:tab w:val="left" w:pos="1620"/>
      </w:tabs>
      <w:spacing w:line="240" w:lineRule="atLeast"/>
      <w:jc w:val="left"/>
    </w:pPr>
    <w:rPr>
      <w:rFonts w:ascii="Courier" w:hAnsi="Courier"/>
      <w:bCs w:val="0"/>
      <w:iCs w:val="0"/>
    </w:rPr>
  </w:style>
  <w:style w:type="paragraph" w:customStyle="1" w:styleId="book-text">
    <w:name w:val="book-text"/>
    <w:basedOn w:val="Normal"/>
    <w:next w:val="Normal"/>
    <w:rsid w:val="003A6511"/>
    <w:pPr>
      <w:spacing w:line="480" w:lineRule="atLeast"/>
      <w:jc w:val="left"/>
    </w:pPr>
    <w:rPr>
      <w:rFonts w:ascii="Courier" w:hAnsi="Courier"/>
      <w:b/>
      <w:bCs w:val="0"/>
      <w:iCs w:val="0"/>
      <w:sz w:val="24"/>
    </w:rPr>
  </w:style>
  <w:style w:type="paragraph" w:styleId="BodyText2">
    <w:name w:val="Body Text 2"/>
    <w:basedOn w:val="Normal"/>
    <w:link w:val="BodyText2Char"/>
    <w:rsid w:val="003A6511"/>
    <w:pPr>
      <w:tabs>
        <w:tab w:val="left" w:pos="446"/>
        <w:tab w:val="left" w:pos="907"/>
        <w:tab w:val="left" w:pos="1354"/>
      </w:tabs>
      <w:ind w:left="1350" w:hanging="1350"/>
    </w:pPr>
    <w:rPr>
      <w:bCs w:val="0"/>
      <w:iCs w:val="0"/>
      <w:sz w:val="24"/>
    </w:rPr>
  </w:style>
  <w:style w:type="character" w:customStyle="1" w:styleId="BodyText2Char">
    <w:name w:val="Body Text 2 Char"/>
    <w:basedOn w:val="DefaultParagraphFont"/>
    <w:link w:val="BodyText2"/>
    <w:rsid w:val="003A6511"/>
    <w:rPr>
      <w:rFonts w:ascii="Times New Roman" w:eastAsia="Times New Roman" w:hAnsi="Times New Roman" w:cs="Times New Roman"/>
      <w:sz w:val="24"/>
      <w:szCs w:val="20"/>
    </w:rPr>
  </w:style>
  <w:style w:type="paragraph" w:styleId="BodyTextIndent2">
    <w:name w:val="Body Text Indent 2"/>
    <w:basedOn w:val="Normal"/>
    <w:link w:val="BodyTextIndent2Char"/>
    <w:rsid w:val="003A6511"/>
    <w:pPr>
      <w:tabs>
        <w:tab w:val="left" w:pos="446"/>
        <w:tab w:val="left" w:pos="907"/>
        <w:tab w:val="left" w:pos="1354"/>
      </w:tabs>
      <w:ind w:left="900" w:hanging="900"/>
    </w:pPr>
    <w:rPr>
      <w:bCs w:val="0"/>
      <w:iCs w:val="0"/>
      <w:sz w:val="24"/>
    </w:rPr>
  </w:style>
  <w:style w:type="character" w:customStyle="1" w:styleId="BodyTextIndent2Char">
    <w:name w:val="Body Text Indent 2 Char"/>
    <w:basedOn w:val="DefaultParagraphFont"/>
    <w:link w:val="BodyTextIndent2"/>
    <w:rsid w:val="003A6511"/>
    <w:rPr>
      <w:rFonts w:ascii="Times New Roman" w:eastAsia="Times New Roman" w:hAnsi="Times New Roman" w:cs="Times New Roman"/>
      <w:sz w:val="24"/>
      <w:szCs w:val="20"/>
    </w:rPr>
  </w:style>
  <w:style w:type="paragraph" w:styleId="BodyTextIndent3">
    <w:name w:val="Body Text Indent 3"/>
    <w:basedOn w:val="Normal"/>
    <w:link w:val="BodyTextIndent3Char"/>
    <w:rsid w:val="003A6511"/>
    <w:pPr>
      <w:tabs>
        <w:tab w:val="left" w:pos="446"/>
        <w:tab w:val="left" w:pos="907"/>
        <w:tab w:val="left" w:pos="1354"/>
      </w:tabs>
      <w:ind w:left="450" w:hanging="450"/>
    </w:pPr>
    <w:rPr>
      <w:bCs w:val="0"/>
      <w:iCs w:val="0"/>
      <w:sz w:val="24"/>
    </w:rPr>
  </w:style>
  <w:style w:type="character" w:customStyle="1" w:styleId="BodyTextIndent3Char">
    <w:name w:val="Body Text Indent 3 Char"/>
    <w:basedOn w:val="DefaultParagraphFont"/>
    <w:link w:val="BodyTextIndent3"/>
    <w:rsid w:val="003A6511"/>
    <w:rPr>
      <w:rFonts w:ascii="Times New Roman" w:eastAsia="Times New Roman" w:hAnsi="Times New Roman" w:cs="Times New Roman"/>
      <w:sz w:val="24"/>
      <w:szCs w:val="20"/>
    </w:rPr>
  </w:style>
  <w:style w:type="paragraph" w:styleId="BodyTextIndent">
    <w:name w:val="Body Text Indent"/>
    <w:basedOn w:val="Normal"/>
    <w:link w:val="BodyTextIndentChar"/>
    <w:rsid w:val="003A6511"/>
    <w:pPr>
      <w:tabs>
        <w:tab w:val="left" w:pos="446"/>
        <w:tab w:val="left" w:pos="1350"/>
        <w:tab w:val="left" w:pos="1800"/>
      </w:tabs>
      <w:ind w:left="1800" w:hanging="1350"/>
    </w:pPr>
    <w:rPr>
      <w:bCs w:val="0"/>
      <w:iCs w:val="0"/>
      <w:sz w:val="24"/>
    </w:rPr>
  </w:style>
  <w:style w:type="character" w:customStyle="1" w:styleId="BodyTextIndentChar">
    <w:name w:val="Body Text Indent Char"/>
    <w:basedOn w:val="DefaultParagraphFont"/>
    <w:link w:val="BodyTextIndent"/>
    <w:rsid w:val="003A6511"/>
    <w:rPr>
      <w:rFonts w:ascii="Times New Roman" w:eastAsia="Times New Roman" w:hAnsi="Times New Roman" w:cs="Times New Roman"/>
      <w:sz w:val="24"/>
      <w:szCs w:val="20"/>
    </w:rPr>
  </w:style>
  <w:style w:type="paragraph" w:customStyle="1" w:styleId="Norm2">
    <w:name w:val="Norm2"/>
    <w:basedOn w:val="Normal"/>
    <w:rsid w:val="003A6511"/>
    <w:pPr>
      <w:tabs>
        <w:tab w:val="left" w:pos="1620"/>
      </w:tabs>
      <w:ind w:left="1080" w:hanging="540"/>
      <w:jc w:val="left"/>
    </w:pPr>
    <w:rPr>
      <w:bCs w:val="0"/>
      <w:iCs w:val="0"/>
      <w:sz w:val="24"/>
    </w:rPr>
  </w:style>
  <w:style w:type="paragraph" w:customStyle="1" w:styleId="Norm3">
    <w:name w:val="Norm3"/>
    <w:basedOn w:val="Norm2"/>
    <w:rsid w:val="003A6511"/>
    <w:pPr>
      <w:tabs>
        <w:tab w:val="clear" w:pos="1620"/>
        <w:tab w:val="left" w:pos="2160"/>
      </w:tabs>
      <w:ind w:left="1620"/>
    </w:pPr>
  </w:style>
  <w:style w:type="paragraph" w:customStyle="1" w:styleId="notes">
    <w:name w:val="notes"/>
    <w:basedOn w:val="Normal"/>
    <w:rsid w:val="003A6511"/>
    <w:pPr>
      <w:tabs>
        <w:tab w:val="left" w:pos="547"/>
        <w:tab w:val="left" w:pos="907"/>
      </w:tabs>
      <w:spacing w:line="240" w:lineRule="atLeast"/>
      <w:jc w:val="center"/>
    </w:pPr>
    <w:rPr>
      <w:b/>
      <w:bCs w:val="0"/>
      <w:i/>
      <w:iCs w:val="0"/>
      <w:sz w:val="24"/>
    </w:rPr>
  </w:style>
  <w:style w:type="paragraph" w:customStyle="1" w:styleId="headA">
    <w:name w:val="headA"/>
    <w:basedOn w:val="Normal"/>
    <w:rsid w:val="003A6511"/>
    <w:pPr>
      <w:tabs>
        <w:tab w:val="left" w:pos="547"/>
        <w:tab w:val="left" w:pos="907"/>
      </w:tabs>
      <w:spacing w:line="240" w:lineRule="atLeast"/>
      <w:jc w:val="center"/>
    </w:pPr>
    <w:rPr>
      <w:b/>
      <w:bCs w:val="0"/>
      <w:iCs w:val="0"/>
      <w:sz w:val="24"/>
    </w:rPr>
  </w:style>
  <w:style w:type="paragraph" w:customStyle="1" w:styleId="indent">
    <w:name w:val="indent"/>
    <w:basedOn w:val="Normal"/>
    <w:rsid w:val="003A6511"/>
    <w:pPr>
      <w:spacing w:after="40"/>
      <w:ind w:left="480" w:firstLine="240"/>
      <w:jc w:val="left"/>
    </w:pPr>
    <w:rPr>
      <w:bCs w:val="0"/>
      <w:iCs w:val="0"/>
      <w:sz w:val="22"/>
    </w:rPr>
  </w:style>
  <w:style w:type="paragraph" w:customStyle="1" w:styleId="stars">
    <w:name w:val="stars"/>
    <w:basedOn w:val="Normal"/>
    <w:rsid w:val="003A6511"/>
    <w:pPr>
      <w:tabs>
        <w:tab w:val="left" w:pos="547"/>
        <w:tab w:val="left" w:pos="907"/>
      </w:tabs>
      <w:spacing w:before="120" w:after="120"/>
      <w:jc w:val="center"/>
    </w:pPr>
    <w:rPr>
      <w:bCs w:val="0"/>
      <w:iCs w:val="0"/>
      <w:position w:val="6"/>
      <w:sz w:val="24"/>
    </w:rPr>
  </w:style>
  <w:style w:type="paragraph" w:customStyle="1" w:styleId="Heading30">
    <w:name w:val="Heading 3+"/>
    <w:basedOn w:val="Normal"/>
    <w:autoRedefine/>
    <w:rsid w:val="003A6511"/>
    <w:pPr>
      <w:ind w:left="1092" w:hanging="546"/>
    </w:pPr>
    <w:rPr>
      <w:bCs w:val="0"/>
      <w:iCs w:val="0"/>
      <w:sz w:val="22"/>
      <w:szCs w:val="22"/>
    </w:rPr>
  </w:style>
  <w:style w:type="paragraph" w:customStyle="1" w:styleId="Heading40">
    <w:name w:val="Heading 4+"/>
    <w:basedOn w:val="Normal"/>
    <w:link w:val="Heading4Char0"/>
    <w:rsid w:val="003A6511"/>
    <w:pPr>
      <w:ind w:left="2880" w:hanging="720"/>
    </w:pPr>
    <w:rPr>
      <w:bCs w:val="0"/>
      <w:iCs w:val="0"/>
      <w:sz w:val="22"/>
      <w:szCs w:val="22"/>
    </w:rPr>
  </w:style>
  <w:style w:type="character" w:customStyle="1" w:styleId="Heading4Char0">
    <w:name w:val="Heading 4+ Char"/>
    <w:link w:val="Heading40"/>
    <w:rsid w:val="003A6511"/>
    <w:rPr>
      <w:rFonts w:ascii="Times New Roman" w:eastAsia="Times New Roman" w:hAnsi="Times New Roman" w:cs="Times New Roman"/>
    </w:rPr>
  </w:style>
  <w:style w:type="character" w:customStyle="1" w:styleId="Heading4CharChar">
    <w:name w:val="Heading 4+ Char Char"/>
    <w:rsid w:val="003A6511"/>
    <w:rPr>
      <w:sz w:val="22"/>
      <w:szCs w:val="22"/>
      <w:lang w:val="en-US" w:eastAsia="en-US" w:bidi="ar-SA"/>
    </w:rPr>
  </w:style>
  <w:style w:type="paragraph" w:customStyle="1" w:styleId="default0">
    <w:name w:val="default"/>
    <w:basedOn w:val="Normal"/>
    <w:rsid w:val="003A6511"/>
    <w:pPr>
      <w:spacing w:before="100" w:beforeAutospacing="1" w:after="100" w:afterAutospacing="1"/>
      <w:jc w:val="left"/>
    </w:pPr>
    <w:rPr>
      <w:rFonts w:ascii="Arial" w:hAnsi="Arial" w:cs="Arial"/>
      <w:bCs w:val="0"/>
      <w:iCs w:val="0"/>
      <w:color w:val="000000"/>
      <w:sz w:val="24"/>
      <w:szCs w:val="24"/>
    </w:rPr>
  </w:style>
  <w:style w:type="paragraph" w:customStyle="1" w:styleId="cm3">
    <w:name w:val="cm3"/>
    <w:basedOn w:val="Normal"/>
    <w:rsid w:val="003A6511"/>
    <w:pPr>
      <w:spacing w:before="100" w:beforeAutospacing="1" w:after="100" w:afterAutospacing="1"/>
      <w:jc w:val="left"/>
    </w:pPr>
    <w:rPr>
      <w:rFonts w:ascii="Arial" w:hAnsi="Arial" w:cs="Arial"/>
      <w:bCs w:val="0"/>
      <w:iCs w:val="0"/>
      <w:color w:val="000000"/>
      <w:sz w:val="24"/>
      <w:szCs w:val="24"/>
    </w:rPr>
  </w:style>
  <w:style w:type="paragraph" w:customStyle="1" w:styleId="cm4">
    <w:name w:val="cm4"/>
    <w:basedOn w:val="Normal"/>
    <w:rsid w:val="003A6511"/>
    <w:pPr>
      <w:spacing w:before="100" w:beforeAutospacing="1" w:after="100" w:afterAutospacing="1"/>
      <w:jc w:val="left"/>
    </w:pPr>
    <w:rPr>
      <w:rFonts w:ascii="Arial" w:hAnsi="Arial" w:cs="Arial"/>
      <w:bCs w:val="0"/>
      <w:iCs w:val="0"/>
      <w:color w:val="000000"/>
      <w:sz w:val="24"/>
      <w:szCs w:val="24"/>
    </w:rPr>
  </w:style>
  <w:style w:type="paragraph" w:customStyle="1" w:styleId="CommentHang">
    <w:name w:val="CommentHang"/>
    <w:rsid w:val="003A6511"/>
    <w:pPr>
      <w:spacing w:before="40" w:after="0" w:line="220" w:lineRule="exact"/>
      <w:ind w:left="480" w:right="480"/>
      <w:jc w:val="both"/>
    </w:pPr>
    <w:rPr>
      <w:rFonts w:ascii="Times" w:eastAsia="Times New Roman" w:hAnsi="Times" w:cs="Times New Roman"/>
      <w:sz w:val="20"/>
      <w:szCs w:val="20"/>
    </w:rPr>
  </w:style>
  <w:style w:type="character" w:styleId="FootnoteReference">
    <w:name w:val="footnote reference"/>
    <w:basedOn w:val="DefaultParagraphFont"/>
    <w:semiHidden/>
    <w:rsid w:val="00184B67"/>
    <w:rPr>
      <w:vertAlign w:val="superscript"/>
    </w:rPr>
  </w:style>
  <w:style w:type="character" w:customStyle="1" w:styleId="num">
    <w:name w:val="num"/>
    <w:basedOn w:val="DefaultParagraphFont"/>
    <w:rsid w:val="007879BC"/>
  </w:style>
  <w:style w:type="character" w:customStyle="1" w:styleId="heading">
    <w:name w:val="heading"/>
    <w:basedOn w:val="DefaultParagraphFont"/>
    <w:rsid w:val="007879BC"/>
  </w:style>
  <w:style w:type="character" w:customStyle="1" w:styleId="Date1">
    <w:name w:val="Date1"/>
    <w:basedOn w:val="DefaultParagraphFont"/>
    <w:rsid w:val="007879BC"/>
  </w:style>
  <w:style w:type="character" w:customStyle="1" w:styleId="Date2">
    <w:name w:val="Date2"/>
    <w:basedOn w:val="DefaultParagraphFont"/>
    <w:rsid w:val="005F0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1433">
      <w:bodyDiv w:val="1"/>
      <w:marLeft w:val="0"/>
      <w:marRight w:val="0"/>
      <w:marTop w:val="0"/>
      <w:marBottom w:val="0"/>
      <w:divBdr>
        <w:top w:val="none" w:sz="0" w:space="0" w:color="auto"/>
        <w:left w:val="none" w:sz="0" w:space="0" w:color="auto"/>
        <w:bottom w:val="none" w:sz="0" w:space="0" w:color="auto"/>
        <w:right w:val="none" w:sz="0" w:space="0" w:color="auto"/>
      </w:divBdr>
    </w:div>
    <w:div w:id="377441029">
      <w:bodyDiv w:val="1"/>
      <w:marLeft w:val="0"/>
      <w:marRight w:val="0"/>
      <w:marTop w:val="0"/>
      <w:marBottom w:val="0"/>
      <w:divBdr>
        <w:top w:val="none" w:sz="0" w:space="0" w:color="auto"/>
        <w:left w:val="none" w:sz="0" w:space="0" w:color="auto"/>
        <w:bottom w:val="none" w:sz="0" w:space="0" w:color="auto"/>
        <w:right w:val="none" w:sz="0" w:space="0" w:color="auto"/>
      </w:divBdr>
      <w:divsChild>
        <w:div w:id="475033795">
          <w:marLeft w:val="240"/>
          <w:marRight w:val="0"/>
          <w:marTop w:val="60"/>
          <w:marBottom w:val="60"/>
          <w:divBdr>
            <w:top w:val="none" w:sz="0" w:space="0" w:color="auto"/>
            <w:left w:val="none" w:sz="0" w:space="0" w:color="auto"/>
            <w:bottom w:val="none" w:sz="0" w:space="0" w:color="auto"/>
            <w:right w:val="none" w:sz="0" w:space="0" w:color="auto"/>
          </w:divBdr>
          <w:divsChild>
            <w:div w:id="2140999322">
              <w:marLeft w:val="240"/>
              <w:marRight w:val="0"/>
              <w:marTop w:val="60"/>
              <w:marBottom w:val="60"/>
              <w:divBdr>
                <w:top w:val="none" w:sz="0" w:space="0" w:color="auto"/>
                <w:left w:val="none" w:sz="0" w:space="0" w:color="auto"/>
                <w:bottom w:val="none" w:sz="0" w:space="0" w:color="auto"/>
                <w:right w:val="none" w:sz="0" w:space="0" w:color="auto"/>
              </w:divBdr>
              <w:divsChild>
                <w:div w:id="458649124">
                  <w:marLeft w:val="0"/>
                  <w:marRight w:val="0"/>
                  <w:marTop w:val="0"/>
                  <w:marBottom w:val="0"/>
                  <w:divBdr>
                    <w:top w:val="none" w:sz="0" w:space="0" w:color="auto"/>
                    <w:left w:val="none" w:sz="0" w:space="0" w:color="auto"/>
                    <w:bottom w:val="none" w:sz="0" w:space="0" w:color="auto"/>
                    <w:right w:val="none" w:sz="0" w:space="0" w:color="auto"/>
                  </w:divBdr>
                </w:div>
              </w:divsChild>
            </w:div>
            <w:div w:id="1450396424">
              <w:marLeft w:val="240"/>
              <w:marRight w:val="0"/>
              <w:marTop w:val="60"/>
              <w:marBottom w:val="60"/>
              <w:divBdr>
                <w:top w:val="none" w:sz="0" w:space="0" w:color="auto"/>
                <w:left w:val="none" w:sz="0" w:space="0" w:color="auto"/>
                <w:bottom w:val="none" w:sz="0" w:space="0" w:color="auto"/>
                <w:right w:val="none" w:sz="0" w:space="0" w:color="auto"/>
              </w:divBdr>
              <w:divsChild>
                <w:div w:id="732195646">
                  <w:marLeft w:val="0"/>
                  <w:marRight w:val="0"/>
                  <w:marTop w:val="0"/>
                  <w:marBottom w:val="0"/>
                  <w:divBdr>
                    <w:top w:val="none" w:sz="0" w:space="0" w:color="auto"/>
                    <w:left w:val="none" w:sz="0" w:space="0" w:color="auto"/>
                    <w:bottom w:val="none" w:sz="0" w:space="0" w:color="auto"/>
                    <w:right w:val="none" w:sz="0" w:space="0" w:color="auto"/>
                  </w:divBdr>
                </w:div>
              </w:divsChild>
            </w:div>
            <w:div w:id="551965049">
              <w:marLeft w:val="470"/>
              <w:marRight w:val="0"/>
              <w:marTop w:val="0"/>
              <w:marBottom w:val="0"/>
              <w:divBdr>
                <w:top w:val="none" w:sz="0" w:space="0" w:color="auto"/>
                <w:left w:val="none" w:sz="0" w:space="0" w:color="auto"/>
                <w:bottom w:val="none" w:sz="0" w:space="0" w:color="auto"/>
                <w:right w:val="none" w:sz="0" w:space="0" w:color="auto"/>
              </w:divBdr>
            </w:div>
          </w:divsChild>
        </w:div>
        <w:div w:id="1659646440">
          <w:marLeft w:val="240"/>
          <w:marRight w:val="0"/>
          <w:marTop w:val="60"/>
          <w:marBottom w:val="60"/>
          <w:divBdr>
            <w:top w:val="none" w:sz="0" w:space="0" w:color="auto"/>
            <w:left w:val="none" w:sz="0" w:space="0" w:color="auto"/>
            <w:bottom w:val="none" w:sz="0" w:space="0" w:color="auto"/>
            <w:right w:val="none" w:sz="0" w:space="0" w:color="auto"/>
          </w:divBdr>
          <w:divsChild>
            <w:div w:id="1121193927">
              <w:marLeft w:val="240"/>
              <w:marRight w:val="0"/>
              <w:marTop w:val="60"/>
              <w:marBottom w:val="60"/>
              <w:divBdr>
                <w:top w:val="none" w:sz="0" w:space="0" w:color="auto"/>
                <w:left w:val="none" w:sz="0" w:space="0" w:color="auto"/>
                <w:bottom w:val="none" w:sz="0" w:space="0" w:color="auto"/>
                <w:right w:val="none" w:sz="0" w:space="0" w:color="auto"/>
              </w:divBdr>
              <w:divsChild>
                <w:div w:id="2703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54755">
      <w:bodyDiv w:val="1"/>
      <w:marLeft w:val="0"/>
      <w:marRight w:val="0"/>
      <w:marTop w:val="0"/>
      <w:marBottom w:val="0"/>
      <w:divBdr>
        <w:top w:val="none" w:sz="0" w:space="0" w:color="auto"/>
        <w:left w:val="none" w:sz="0" w:space="0" w:color="auto"/>
        <w:bottom w:val="none" w:sz="0" w:space="0" w:color="auto"/>
        <w:right w:val="none" w:sz="0" w:space="0" w:color="auto"/>
      </w:divBdr>
    </w:div>
    <w:div w:id="1384712080">
      <w:bodyDiv w:val="1"/>
      <w:marLeft w:val="0"/>
      <w:marRight w:val="0"/>
      <w:marTop w:val="0"/>
      <w:marBottom w:val="0"/>
      <w:divBdr>
        <w:top w:val="none" w:sz="0" w:space="0" w:color="auto"/>
        <w:left w:val="none" w:sz="0" w:space="0" w:color="auto"/>
        <w:bottom w:val="none" w:sz="0" w:space="0" w:color="auto"/>
        <w:right w:val="none" w:sz="0" w:space="0" w:color="auto"/>
      </w:divBdr>
    </w:div>
    <w:div w:id="156232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law.cornell.edu/definitions/uscode.php?width=840&amp;height=800&amp;iframe=true&amp;def_id=26-USC-1738140159-1199109695&amp;term_occur=75&amp;term_src=title:26:subtitle:A:chapter:1:subchapter:B:part:I:section:67" TargetMode="External"/><Relationship Id="rId18" Type="http://schemas.openxmlformats.org/officeDocument/2006/relationships/hyperlink" Target="https://1.next.westlaw.com/Link/Document/FullText?findType=L&amp;pubNum=1012823&amp;cite=26USCAS67&amp;originatingDoc=I4dde2687939311e8ab20b3103407982a&amp;refType=RB&amp;originationContext=document&amp;transitionType=DocumentItem&amp;contextData=(sc.UserEnteredCitation)"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s://www.law.cornell.edu/definitions/uscode.php?width=840&amp;height=800&amp;iframe=true&amp;def_id=26-USC-901776884-1368516903&amp;term_occur=220&amp;term_src=title:26:subtitle:A:chapter:1:subchapter:O:part:II:section:1014" TargetMode="External"/><Relationship Id="rId7" Type="http://schemas.openxmlformats.org/officeDocument/2006/relationships/footer" Target="footer1.xml"/><Relationship Id="rId12" Type="http://schemas.openxmlformats.org/officeDocument/2006/relationships/hyperlink" Target="https://www.law.cornell.edu/definitions/uscode.php?width=840&amp;height=800&amp;iframe=true&amp;def_id=26-USC-1529535480-1197466203&amp;term_occur=971&amp;term_src=title:26:subtitle:A:chapter:1:subchapter:B:part:I:section:67" TargetMode="External"/><Relationship Id="rId17" Type="http://schemas.openxmlformats.org/officeDocument/2006/relationships/hyperlink" Target="https://1.next.westlaw.com/Link/Document/FullText?findType=L&amp;pubNum=1000546&amp;cite=26USCAS661&amp;originatingDoc=I4dde2687939311e8ab20b3103407982a&amp;refType=LQ&amp;originationContext=document&amp;transitionType=DocumentItem&amp;contextData=(sc.UserEnteredCitation)"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1.next.westlaw.com/Link/Document/FullText?findType=L&amp;pubNum=1000546&amp;cite=26USCAS651&amp;originatingDoc=I4dde2687939311e8ab20b3103407982a&amp;refType=LQ&amp;originationContext=document&amp;transitionType=DocumentItem&amp;contextData=(sc.UserEnteredCitation)" TargetMode="External"/><Relationship Id="rId20" Type="http://schemas.openxmlformats.org/officeDocument/2006/relationships/hyperlink" Target="https://www.law.cornell.edu/definitions/uscode.php?width=840&amp;height=800&amp;iframe=true&amp;def_id=26-USC-993141291-2033417876&amp;term_occur=1514&amp;term_src=title:26:subtitle:A:chapter:1:subchapter:O:part:II:section:10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https://1.next.westlaw.com/Link/Document/FullText?findType=Y&amp;serNum=1976137924&amp;pubNum=0000713&amp;originatingDoc=Ie80d7c5eb41e11deabdfd03f2b83b8a4&amp;refType=RP&amp;fi=co_pp_sp_713_717&amp;originationContext=document&amp;transitionType=DocumentItem&amp;contextData=(sc.Default)" TargetMode="External"/><Relationship Id="rId5" Type="http://schemas.openxmlformats.org/officeDocument/2006/relationships/footnotes" Target="footnotes.xml"/><Relationship Id="rId15" Type="http://schemas.openxmlformats.org/officeDocument/2006/relationships/hyperlink" Target="https://1.next.westlaw.com/Link/Document/FullText?findType=L&amp;pubNum=1000546&amp;cite=26USCAS642&amp;originatingDoc=I4dde2687939311e8ab20b3103407982a&amp;refType=RB&amp;originationContext=document&amp;transitionType=DocumentItem&amp;contextData=(sc.UserEnteredCitation)" TargetMode="External"/><Relationship Id="rId23" Type="http://schemas.openxmlformats.org/officeDocument/2006/relationships/hyperlink" Target="https://1.next.westlaw.com/Link/Document/FullText?findType=Y&amp;serNum=1985105330&amp;pubNum=0000350&amp;originatingDoc=Ie80d7c5eb41e11deabdfd03f2b83b8a4&amp;refType=RP&amp;originationContext=document&amp;transitionType=DocumentItem&amp;contextData=(sc.Default)"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1.next.westlaw.com/Link/Document/FullText?findType=L&amp;pubNum=1000546&amp;cite=26USCAS642&amp;originatingDoc=I4dde2687939311e8ab20b3103407982a&amp;refType=RB&amp;originationContext=document&amp;transitionType=DocumentItem&amp;contextData=(sc.UserEnteredCitation)"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1.next.westlaw.com/Link/Document/FullText?findType=L&amp;pubNum=1012823&amp;cite=26USCAS67&amp;originatingDoc=I4dde2687939311e8ab20b3103407982a&amp;refType=RB&amp;originationContext=document&amp;transitionType=DocumentItem&amp;contextData=(sc.UserEnteredCitation)" TargetMode="External"/><Relationship Id="rId22" Type="http://schemas.openxmlformats.org/officeDocument/2006/relationships/hyperlink" Target="https://1.next.westlaw.com/Link/Document/FullText?findType=Y&amp;serNum=1983153733&amp;pubNum=0000852&amp;originatingDoc=Ie80d7c5eb41e11deabdfd03f2b83b8a4&amp;refType=RP&amp;fi=co_pp_sp_852_14&amp;originationContext=document&amp;transitionType=DocumentItem&amp;contextData=(sc.Defaul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7511</Words>
  <Characters>42815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School of Law</Company>
  <LinksUpToDate>false</LinksUpToDate>
  <CharactersWithSpaces>50226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Johanson, Stanley M</dc:creator>
  <cp:keywords/>
  <dc:description/>
  <cp:lastModifiedBy>Johanson, Stanley M</cp:lastModifiedBy>
  <cp:revision>3</cp:revision>
  <cp:lastPrinted>2018-09-11T22:30:00Z</cp:lastPrinted>
  <dcterms:created xsi:type="dcterms:W3CDTF">2018-09-11T22:56:00Z</dcterms:created>
  <dcterms:modified xsi:type="dcterms:W3CDTF">2018-09-11T23:02:00Z</dcterms:modified>
</cp:coreProperties>
</file>